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9FE2" w14:textId="23790895" w:rsidR="009874B9" w:rsidRPr="009874B9" w:rsidRDefault="009874B9" w:rsidP="00F1765D">
      <w:pPr>
        <w:jc w:val="both"/>
        <w:rPr>
          <w:b/>
          <w:bCs/>
          <w:szCs w:val="30"/>
        </w:rPr>
      </w:pPr>
      <w:r>
        <w:rPr>
          <w:b/>
          <w:bCs/>
          <w:szCs w:val="30"/>
        </w:rPr>
        <w:t xml:space="preserve">О </w:t>
      </w:r>
      <w:r w:rsidRPr="009874B9">
        <w:rPr>
          <w:b/>
          <w:bCs/>
          <w:szCs w:val="30"/>
        </w:rPr>
        <w:t>минимизаци</w:t>
      </w:r>
      <w:r>
        <w:rPr>
          <w:b/>
          <w:bCs/>
          <w:szCs w:val="30"/>
        </w:rPr>
        <w:t>и</w:t>
      </w:r>
      <w:r w:rsidRPr="009874B9">
        <w:rPr>
          <w:b/>
          <w:bCs/>
          <w:szCs w:val="30"/>
        </w:rPr>
        <w:t xml:space="preserve"> негативного воздействия азартных игр на население Республики Беларусь</w:t>
      </w:r>
    </w:p>
    <w:p w14:paraId="36BE8E81" w14:textId="77777777" w:rsidR="009874B9" w:rsidRPr="009874B9" w:rsidRDefault="009874B9" w:rsidP="00F1765D">
      <w:pPr>
        <w:jc w:val="both"/>
        <w:rPr>
          <w:szCs w:val="30"/>
        </w:rPr>
      </w:pPr>
    </w:p>
    <w:p w14:paraId="45FF6E34" w14:textId="36843CE6" w:rsidR="009874B9" w:rsidRPr="009874B9" w:rsidRDefault="009874B9" w:rsidP="00F1765D">
      <w:pPr>
        <w:spacing w:after="120"/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9874B9">
        <w:rPr>
          <w:szCs w:val="30"/>
        </w:rPr>
        <w:t xml:space="preserve">Высокий риск формирования у физических лиц игровой зависимости </w:t>
      </w:r>
      <w:r w:rsidRPr="008145B1">
        <w:rPr>
          <w:b/>
          <w:bCs/>
          <w:szCs w:val="30"/>
        </w:rPr>
        <w:t>негативно отражается</w:t>
      </w:r>
      <w:r w:rsidRPr="00AC79FF">
        <w:rPr>
          <w:b/>
          <w:bCs/>
          <w:szCs w:val="30"/>
        </w:rPr>
        <w:t xml:space="preserve"> на психическом здоровье человека и институте семьи</w:t>
      </w:r>
      <w:r w:rsidRPr="009874B9">
        <w:rPr>
          <w:szCs w:val="30"/>
        </w:rPr>
        <w:t>. Данное обстоятельство обусловило введенный законодательными актами Республики Беларусь запрет на допуск организаторами азартных</w:t>
      </w:r>
      <w:r w:rsidR="00AC79FF" w:rsidRPr="00AC79FF">
        <w:rPr>
          <w:rFonts w:eastAsia="Times New Roman"/>
          <w:color w:val="1A1A1A"/>
          <w:szCs w:val="30"/>
          <w:lang w:eastAsia="ru-RU"/>
        </w:rPr>
        <w:t xml:space="preserve"> </w:t>
      </w:r>
      <w:r w:rsidR="00AC79FF" w:rsidRPr="009874B9">
        <w:rPr>
          <w:rFonts w:eastAsia="Times New Roman"/>
          <w:color w:val="1A1A1A"/>
          <w:szCs w:val="30"/>
          <w:lang w:eastAsia="ru-RU"/>
        </w:rPr>
        <w:t>игр</w:t>
      </w:r>
      <w:r w:rsidRPr="009874B9">
        <w:rPr>
          <w:szCs w:val="30"/>
        </w:rPr>
        <w:t xml:space="preserve"> в игорные заведения физических лиц, ограниченных</w:t>
      </w:r>
      <w:r w:rsidRPr="009874B9">
        <w:rPr>
          <w:rFonts w:eastAsia="Times New Roman"/>
          <w:color w:val="1A1A1A"/>
          <w:szCs w:val="30"/>
          <w:lang w:eastAsia="ru-RU"/>
        </w:rPr>
        <w:t xml:space="preserve"> в посещении таких заведений.</w:t>
      </w:r>
    </w:p>
    <w:p w14:paraId="73339735" w14:textId="77777777" w:rsidR="009874B9" w:rsidRPr="009874B9" w:rsidRDefault="009874B9" w:rsidP="00F1765D">
      <w:pPr>
        <w:spacing w:before="120"/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9874B9">
        <w:rPr>
          <w:rFonts w:eastAsia="Times New Roman"/>
          <w:color w:val="1A1A1A"/>
          <w:szCs w:val="30"/>
          <w:lang w:eastAsia="ru-RU"/>
        </w:rPr>
        <w:t>Механизм ограничения может быть реализован следующими способами:</w:t>
      </w:r>
    </w:p>
    <w:p w14:paraId="1D3CAFB0" w14:textId="6CB827EC" w:rsidR="009874B9" w:rsidRPr="00AD2F14" w:rsidRDefault="009874B9" w:rsidP="00E9111B">
      <w:pPr>
        <w:ind w:firstLine="567"/>
        <w:jc w:val="both"/>
        <w:rPr>
          <w:rFonts w:eastAsia="Times New Roman"/>
          <w:i/>
          <w:iCs/>
          <w:color w:val="1A1A1A"/>
          <w:lang w:eastAsia="ru-RU"/>
        </w:rPr>
      </w:pPr>
      <w:r w:rsidRPr="009874B9">
        <w:rPr>
          <w:rFonts w:eastAsia="Times New Roman"/>
          <w:color w:val="1A1A1A"/>
          <w:szCs w:val="30"/>
          <w:lang w:eastAsia="ru-RU"/>
        </w:rPr>
        <w:t>- физическое лицо может</w:t>
      </w:r>
      <w:r w:rsidRPr="009874B9">
        <w:rPr>
          <w:rFonts w:eastAsia="Times New Roman"/>
          <w:b/>
          <w:bCs/>
          <w:color w:val="1A1A1A"/>
          <w:szCs w:val="30"/>
          <w:lang w:eastAsia="ru-RU"/>
        </w:rPr>
        <w:t xml:space="preserve"> самостоятельно ограничить себя</w:t>
      </w:r>
      <w:r w:rsidRPr="009874B9">
        <w:rPr>
          <w:rFonts w:eastAsia="Times New Roman"/>
          <w:color w:val="1A1A1A"/>
          <w:szCs w:val="30"/>
          <w:lang w:eastAsia="ru-RU"/>
        </w:rPr>
        <w:t xml:space="preserve"> в посещении игорных заведений, виртуальных игорных заведений и участии в азартных играх </w:t>
      </w:r>
      <w:r w:rsidRPr="009874B9">
        <w:rPr>
          <w:rFonts w:eastAsia="Times New Roman"/>
          <w:color w:val="1A1A1A"/>
          <w:szCs w:val="30"/>
          <w:u w:val="single"/>
          <w:lang w:eastAsia="ru-RU"/>
        </w:rPr>
        <w:t xml:space="preserve">на срок от </w:t>
      </w:r>
      <w:r w:rsidR="008145B1">
        <w:rPr>
          <w:rFonts w:eastAsia="Times New Roman"/>
          <w:color w:val="1A1A1A"/>
          <w:szCs w:val="30"/>
          <w:u w:val="single"/>
          <w:lang w:eastAsia="ru-RU"/>
        </w:rPr>
        <w:t>6</w:t>
      </w:r>
      <w:r w:rsidRPr="009874B9">
        <w:rPr>
          <w:rFonts w:eastAsia="Times New Roman"/>
          <w:color w:val="1A1A1A"/>
          <w:szCs w:val="30"/>
          <w:u w:val="single"/>
          <w:lang w:eastAsia="ru-RU"/>
        </w:rPr>
        <w:t xml:space="preserve"> месяцев до </w:t>
      </w:r>
      <w:r w:rsidR="008145B1">
        <w:rPr>
          <w:rFonts w:eastAsia="Times New Roman"/>
          <w:color w:val="1A1A1A"/>
          <w:szCs w:val="30"/>
          <w:u w:val="single"/>
          <w:lang w:eastAsia="ru-RU"/>
        </w:rPr>
        <w:t>3</w:t>
      </w:r>
      <w:r w:rsidRPr="009874B9">
        <w:rPr>
          <w:rFonts w:eastAsia="Times New Roman"/>
          <w:color w:val="1A1A1A"/>
          <w:szCs w:val="30"/>
          <w:u w:val="single"/>
          <w:lang w:eastAsia="ru-RU"/>
        </w:rPr>
        <w:t xml:space="preserve"> лет</w:t>
      </w:r>
      <w:r w:rsidRPr="009874B9">
        <w:rPr>
          <w:rFonts w:eastAsia="Times New Roman"/>
          <w:color w:val="1A1A1A"/>
          <w:szCs w:val="30"/>
          <w:lang w:eastAsia="ru-RU"/>
        </w:rPr>
        <w:t xml:space="preserve"> </w:t>
      </w:r>
      <w:r w:rsidRPr="009874B9">
        <w:rPr>
          <w:rFonts w:eastAsia="Times New Roman"/>
          <w:i/>
          <w:iCs/>
          <w:color w:val="1A1A1A"/>
          <w:szCs w:val="30"/>
          <w:lang w:eastAsia="ru-RU"/>
        </w:rPr>
        <w:t>путем личной подачи организатору азартных игр письменного заявления</w:t>
      </w:r>
      <w:r w:rsidR="00F81A94">
        <w:rPr>
          <w:rFonts w:eastAsia="Times New Roman"/>
          <w:i/>
          <w:iCs/>
          <w:color w:val="1A1A1A"/>
          <w:szCs w:val="30"/>
          <w:lang w:eastAsia="ru-RU"/>
        </w:rPr>
        <w:t xml:space="preserve"> </w:t>
      </w:r>
      <w:r w:rsidR="00F81A94" w:rsidRPr="00F81A94">
        <w:rPr>
          <w:rFonts w:eastAsia="Times New Roman"/>
          <w:i/>
          <w:iCs/>
          <w:color w:val="1A1A1A"/>
          <w:lang w:eastAsia="ru-RU"/>
        </w:rPr>
        <w:t>с одновременным предъявлением документа, удостоверяющего его личность</w:t>
      </w:r>
      <w:r w:rsidR="00A12466">
        <w:rPr>
          <w:rFonts w:eastAsia="Times New Roman"/>
          <w:i/>
          <w:iCs/>
          <w:color w:val="1A1A1A"/>
          <w:lang w:eastAsia="ru-RU"/>
        </w:rPr>
        <w:t xml:space="preserve"> (п.13</w:t>
      </w:r>
      <w:r w:rsidR="001920C8">
        <w:rPr>
          <w:rFonts w:eastAsia="Times New Roman"/>
          <w:i/>
          <w:iCs/>
          <w:color w:val="1A1A1A"/>
          <w:lang w:eastAsia="ru-RU"/>
        </w:rPr>
        <w:t> </w:t>
      </w:r>
      <w:r w:rsidR="00AD2F14" w:rsidRPr="00AD2F14">
        <w:rPr>
          <w:rFonts w:eastAsia="Times New Roman"/>
          <w:i/>
          <w:iCs/>
          <w:color w:val="1A1A1A"/>
          <w:lang w:eastAsia="ru-RU"/>
        </w:rPr>
        <w:t>Положения об осуществлении деятельности</w:t>
      </w:r>
      <w:r w:rsidR="00AD2F14">
        <w:rPr>
          <w:rFonts w:eastAsia="Times New Roman"/>
          <w:i/>
          <w:iCs/>
          <w:color w:val="1A1A1A"/>
          <w:lang w:eastAsia="ru-RU"/>
        </w:rPr>
        <w:t xml:space="preserve"> </w:t>
      </w:r>
      <w:r w:rsidR="00AD2F14" w:rsidRPr="00AD2F14">
        <w:rPr>
          <w:rFonts w:eastAsia="Times New Roman"/>
          <w:i/>
          <w:iCs/>
          <w:color w:val="1A1A1A"/>
          <w:lang w:eastAsia="ru-RU"/>
        </w:rPr>
        <w:t>в сфере игорного бизнеса</w:t>
      </w:r>
      <w:r w:rsidR="00AD2F14">
        <w:rPr>
          <w:rFonts w:eastAsia="Times New Roman"/>
          <w:i/>
          <w:iCs/>
          <w:color w:val="1A1A1A"/>
          <w:lang w:eastAsia="ru-RU"/>
        </w:rPr>
        <w:t>, утвержденного Указом Президента Республики Беларусь от 10.01.20</w:t>
      </w:r>
      <w:r w:rsidR="00E9111B">
        <w:rPr>
          <w:rFonts w:eastAsia="Times New Roman"/>
          <w:i/>
          <w:iCs/>
          <w:color w:val="1A1A1A"/>
          <w:lang w:eastAsia="ru-RU"/>
        </w:rPr>
        <w:t>05 № 5</w:t>
      </w:r>
      <w:r w:rsidR="00E506CD">
        <w:rPr>
          <w:rFonts w:eastAsia="Times New Roman"/>
          <w:i/>
          <w:iCs/>
          <w:color w:val="1A1A1A"/>
          <w:lang w:eastAsia="ru-RU"/>
        </w:rPr>
        <w:t>, далее – Положение</w:t>
      </w:r>
      <w:r w:rsidR="00A12466">
        <w:rPr>
          <w:rFonts w:eastAsia="Times New Roman"/>
          <w:i/>
          <w:iCs/>
          <w:color w:val="1A1A1A"/>
          <w:lang w:eastAsia="ru-RU"/>
        </w:rPr>
        <w:t>)</w:t>
      </w:r>
      <w:r w:rsidRPr="00AD2F14">
        <w:rPr>
          <w:rFonts w:eastAsia="Times New Roman"/>
          <w:i/>
          <w:iCs/>
          <w:color w:val="1A1A1A"/>
          <w:lang w:eastAsia="ru-RU"/>
        </w:rPr>
        <w:t>;</w:t>
      </w:r>
    </w:p>
    <w:p w14:paraId="2DDCA274" w14:textId="487125E2" w:rsidR="008145B1" w:rsidRPr="000968E7" w:rsidRDefault="009874B9" w:rsidP="000443DC">
      <w:pPr>
        <w:ind w:firstLine="567"/>
        <w:jc w:val="both"/>
        <w:rPr>
          <w:rFonts w:eastAsia="Times New Roman"/>
          <w:i/>
          <w:iCs/>
          <w:color w:val="1A1A1A"/>
          <w:szCs w:val="30"/>
          <w:lang w:eastAsia="ru-RU"/>
        </w:rPr>
      </w:pPr>
      <w:r w:rsidRPr="009874B9">
        <w:rPr>
          <w:rFonts w:eastAsia="Times New Roman"/>
          <w:color w:val="1A1A1A"/>
          <w:szCs w:val="30"/>
          <w:lang w:eastAsia="ru-RU"/>
        </w:rPr>
        <w:t>- физическое лицо может</w:t>
      </w:r>
      <w:r w:rsidRPr="009874B9">
        <w:rPr>
          <w:rFonts w:eastAsia="Times New Roman"/>
          <w:b/>
          <w:bCs/>
          <w:color w:val="1A1A1A"/>
          <w:szCs w:val="30"/>
          <w:lang w:eastAsia="ru-RU"/>
        </w:rPr>
        <w:t xml:space="preserve"> быть ограничено</w:t>
      </w:r>
      <w:r w:rsidRPr="009874B9">
        <w:rPr>
          <w:rFonts w:eastAsia="Times New Roman"/>
          <w:color w:val="1A1A1A"/>
          <w:szCs w:val="30"/>
          <w:lang w:eastAsia="ru-RU"/>
        </w:rPr>
        <w:t xml:space="preserve"> в посещении игорных заведений, виртуальных игорных заведений и участии в азартных играх </w:t>
      </w:r>
      <w:r w:rsidRPr="009874B9">
        <w:rPr>
          <w:rFonts w:eastAsia="Times New Roman"/>
          <w:color w:val="1A1A1A"/>
          <w:szCs w:val="30"/>
          <w:u w:val="single"/>
          <w:lang w:eastAsia="ru-RU"/>
        </w:rPr>
        <w:t xml:space="preserve">на срок от </w:t>
      </w:r>
      <w:r w:rsidR="00D36DE9" w:rsidRPr="001A16D1">
        <w:rPr>
          <w:rFonts w:eastAsia="Times New Roman"/>
          <w:color w:val="1A1A1A"/>
          <w:szCs w:val="30"/>
          <w:u w:val="single"/>
          <w:lang w:eastAsia="ru-RU"/>
        </w:rPr>
        <w:t>6</w:t>
      </w:r>
      <w:r w:rsidRPr="009874B9">
        <w:rPr>
          <w:rFonts w:eastAsia="Times New Roman"/>
          <w:color w:val="1A1A1A"/>
          <w:szCs w:val="30"/>
          <w:u w:val="single"/>
          <w:lang w:eastAsia="ru-RU"/>
        </w:rPr>
        <w:t xml:space="preserve"> месяцев до </w:t>
      </w:r>
      <w:r w:rsidR="00D36DE9" w:rsidRPr="001A16D1">
        <w:rPr>
          <w:rFonts w:eastAsia="Times New Roman"/>
          <w:color w:val="1A1A1A"/>
          <w:szCs w:val="30"/>
          <w:u w:val="single"/>
          <w:lang w:eastAsia="ru-RU"/>
        </w:rPr>
        <w:t>3</w:t>
      </w:r>
      <w:r w:rsidRPr="009874B9">
        <w:rPr>
          <w:rFonts w:eastAsia="Times New Roman"/>
          <w:color w:val="1A1A1A"/>
          <w:szCs w:val="30"/>
          <w:u w:val="single"/>
          <w:lang w:eastAsia="ru-RU"/>
        </w:rPr>
        <w:t xml:space="preserve"> лет</w:t>
      </w:r>
      <w:r w:rsidRPr="009874B9">
        <w:rPr>
          <w:rFonts w:eastAsia="Times New Roman"/>
          <w:color w:val="1A1A1A"/>
          <w:szCs w:val="30"/>
          <w:lang w:eastAsia="ru-RU"/>
        </w:rPr>
        <w:t xml:space="preserve"> </w:t>
      </w:r>
      <w:r w:rsidRPr="009874B9">
        <w:rPr>
          <w:rFonts w:eastAsia="Times New Roman"/>
          <w:b/>
          <w:bCs/>
          <w:color w:val="1A1A1A"/>
          <w:szCs w:val="30"/>
          <w:lang w:eastAsia="ru-RU"/>
        </w:rPr>
        <w:t>по решению суда</w:t>
      </w:r>
      <w:r w:rsidRPr="009874B9">
        <w:rPr>
          <w:rFonts w:eastAsia="Times New Roman"/>
          <w:color w:val="1A1A1A"/>
          <w:szCs w:val="30"/>
          <w:lang w:eastAsia="ru-RU"/>
        </w:rPr>
        <w:t xml:space="preserve">, </w:t>
      </w:r>
      <w:r w:rsidRPr="000968E7">
        <w:rPr>
          <w:rFonts w:eastAsia="Times New Roman"/>
          <w:i/>
          <w:iCs/>
          <w:color w:val="1A1A1A"/>
          <w:szCs w:val="30"/>
          <w:lang w:eastAsia="ru-RU"/>
        </w:rPr>
        <w:t>то есть в судебном порядке,</w:t>
      </w:r>
      <w:r w:rsidRPr="009874B9">
        <w:rPr>
          <w:rFonts w:eastAsia="Times New Roman"/>
          <w:color w:val="1A1A1A"/>
          <w:szCs w:val="30"/>
          <w:lang w:eastAsia="ru-RU"/>
        </w:rPr>
        <w:t xml:space="preserve"> </w:t>
      </w:r>
      <w:r w:rsidRPr="00B93AA9">
        <w:rPr>
          <w:rFonts w:eastAsia="Times New Roman"/>
          <w:color w:val="1A1A1A"/>
          <w:szCs w:val="30"/>
          <w:lang w:eastAsia="ru-RU"/>
        </w:rPr>
        <w:t>если физическое лицо вследствие участия в азартных играх ставит себя и (или) свою семью в тяжелое материальное положение</w:t>
      </w:r>
      <w:r w:rsidR="000968E7" w:rsidRPr="000968E7">
        <w:rPr>
          <w:rFonts w:eastAsia="Times New Roman"/>
          <w:i/>
          <w:iCs/>
          <w:color w:val="1A1A1A"/>
          <w:szCs w:val="30"/>
          <w:lang w:eastAsia="ru-RU"/>
        </w:rPr>
        <w:t xml:space="preserve"> (п.14 Положения).</w:t>
      </w:r>
    </w:p>
    <w:p w14:paraId="3C2CA7EA" w14:textId="33CFBD7A" w:rsidR="009874B9" w:rsidRPr="009874B9" w:rsidRDefault="009874B9" w:rsidP="000443DC">
      <w:pPr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9874B9">
        <w:rPr>
          <w:rFonts w:eastAsia="Times New Roman"/>
          <w:color w:val="1A1A1A"/>
          <w:szCs w:val="30"/>
          <w:lang w:eastAsia="ru-RU"/>
        </w:rPr>
        <w:t>Дело об ограничении физического лица в посещении игорных заведений, виртуальных игорных заведений и участии в азартных играх рассматривается судом в порядке, установленном гражданским процессуальным законодательством для рассмотрения дел особого производства, на основании заявления. Заявление в суд имеют право подать родители, дети, усыновители (удочерители), усыновленные (удочеренные), родные братья и сестры, дед, бабка, внуки, опекуны, попечители, супруг (супруга) физического лица, а также иные лица, проживающие совместно с ним и ведущие общее хозяйство, прокурор, органы опеки и попечительства.</w:t>
      </w:r>
    </w:p>
    <w:p w14:paraId="1ECB4CC7" w14:textId="71519663" w:rsidR="0039078C" w:rsidRDefault="00C45E55" w:rsidP="0039078C">
      <w:pPr>
        <w:spacing w:before="120"/>
        <w:ind w:firstLine="567"/>
        <w:jc w:val="both"/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 xml:space="preserve">Организатору азартных игр </w:t>
      </w:r>
      <w:r w:rsidRPr="00C45E55">
        <w:rPr>
          <w:rStyle w:val="word-wrapper"/>
          <w:b/>
          <w:bCs/>
          <w:color w:val="242424"/>
          <w:szCs w:val="30"/>
          <w:shd w:val="clear" w:color="auto" w:fill="FFFFFF"/>
        </w:rPr>
        <w:t>запрещается допускать</w:t>
      </w:r>
      <w:r>
        <w:rPr>
          <w:rStyle w:val="word-wrapper"/>
          <w:color w:val="242424"/>
          <w:szCs w:val="30"/>
          <w:shd w:val="clear" w:color="auto" w:fill="FFFFFF"/>
        </w:rPr>
        <w:t xml:space="preserve"> в игорное заведение, виртуальное игорное заведение и к участию в азартных играх физических лиц, которые ограничены в этом по тем или иным основаниям</w:t>
      </w:r>
      <w:r w:rsidR="00E506CD">
        <w:rPr>
          <w:rStyle w:val="word-wrapper"/>
          <w:color w:val="242424"/>
          <w:szCs w:val="30"/>
          <w:shd w:val="clear" w:color="auto" w:fill="FFFFFF"/>
        </w:rPr>
        <w:t xml:space="preserve"> (п.17 Положения).</w:t>
      </w:r>
    </w:p>
    <w:p w14:paraId="43409151" w14:textId="4C30F2A0" w:rsidR="002751CB" w:rsidRDefault="0039078C" w:rsidP="001920C8">
      <w:pPr>
        <w:ind w:firstLine="567"/>
        <w:jc w:val="both"/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>Нарушение установленного законодательством запрета на допуск в игорное</w:t>
      </w:r>
      <w:r>
        <w:rPr>
          <w:color w:val="242424"/>
          <w:szCs w:val="30"/>
          <w:shd w:val="clear" w:color="auto" w:fill="FFFFFF"/>
        </w:rPr>
        <w:t xml:space="preserve"> </w:t>
      </w:r>
      <w:r>
        <w:rPr>
          <w:rStyle w:val="word-wrapper"/>
          <w:color w:val="242424"/>
          <w:szCs w:val="30"/>
          <w:shd w:val="clear" w:color="auto" w:fill="FFFFFF"/>
        </w:rPr>
        <w:t>заведение (виртуальное игорное</w:t>
      </w:r>
      <w:r>
        <w:rPr>
          <w:color w:val="242424"/>
          <w:szCs w:val="30"/>
          <w:shd w:val="clear" w:color="auto" w:fill="FFFFFF"/>
        </w:rPr>
        <w:t xml:space="preserve"> </w:t>
      </w:r>
      <w:r>
        <w:rPr>
          <w:rStyle w:val="word-wrapper"/>
          <w:color w:val="242424"/>
          <w:szCs w:val="30"/>
          <w:shd w:val="clear" w:color="auto" w:fill="FFFFFF"/>
        </w:rPr>
        <w:t>заведение) или к участию в азартных играх</w:t>
      </w:r>
      <w:r w:rsidR="004D3C07">
        <w:rPr>
          <w:rStyle w:val="word-wrapper"/>
          <w:color w:val="242424"/>
          <w:szCs w:val="30"/>
          <w:shd w:val="clear" w:color="auto" w:fill="FFFFFF"/>
        </w:rPr>
        <w:t xml:space="preserve"> физических лиц, сведения о которых включены в </w:t>
      </w:r>
      <w:r w:rsidR="004D3C07">
        <w:rPr>
          <w:rStyle w:val="word-wrapper"/>
        </w:rPr>
        <w:t>перечень</w:t>
      </w:r>
      <w:r w:rsidR="004D3C07">
        <w:rPr>
          <w:rStyle w:val="fake-non-breaking-space"/>
          <w:color w:val="242424"/>
          <w:szCs w:val="30"/>
          <w:shd w:val="clear" w:color="auto" w:fill="FFFFFF"/>
        </w:rPr>
        <w:t xml:space="preserve"> </w:t>
      </w:r>
      <w:r w:rsidR="004D3C07">
        <w:rPr>
          <w:rStyle w:val="word-wrapper"/>
          <w:color w:val="242424"/>
          <w:szCs w:val="30"/>
          <w:shd w:val="clear" w:color="auto" w:fill="FFFFFF"/>
        </w:rPr>
        <w:lastRenderedPageBreak/>
        <w:t>физических лиц, ограниченных в посещении</w:t>
      </w:r>
      <w:r w:rsidR="006E515A" w:rsidRPr="006E515A">
        <w:rPr>
          <w:rFonts w:eastAsia="Times New Roman"/>
          <w:color w:val="1A1A1A"/>
          <w:szCs w:val="30"/>
          <w:lang w:eastAsia="ru-RU"/>
        </w:rPr>
        <w:t xml:space="preserve"> </w:t>
      </w:r>
      <w:r w:rsidR="006E515A" w:rsidRPr="009874B9">
        <w:rPr>
          <w:rFonts w:eastAsia="Times New Roman"/>
          <w:color w:val="1A1A1A"/>
          <w:szCs w:val="30"/>
          <w:lang w:eastAsia="ru-RU"/>
        </w:rPr>
        <w:t>таких</w:t>
      </w:r>
      <w:r w:rsidR="006E515A">
        <w:rPr>
          <w:rFonts w:eastAsia="Times New Roman"/>
          <w:color w:val="1A1A1A"/>
          <w:szCs w:val="30"/>
          <w:lang w:eastAsia="ru-RU"/>
        </w:rPr>
        <w:t xml:space="preserve"> </w:t>
      </w:r>
      <w:r w:rsidR="006E515A">
        <w:rPr>
          <w:rStyle w:val="word-wrapper"/>
          <w:color w:val="242424"/>
          <w:szCs w:val="30"/>
          <w:shd w:val="clear" w:color="auto" w:fill="FFFFFF"/>
        </w:rPr>
        <w:t>заведений,</w:t>
      </w:r>
      <w:r w:rsidR="002751CB">
        <w:rPr>
          <w:rStyle w:val="word-wrapper"/>
          <w:color w:val="242424"/>
          <w:szCs w:val="30"/>
          <w:shd w:val="clear" w:color="auto" w:fill="FFFFFF"/>
        </w:rPr>
        <w:t xml:space="preserve"> влечет </w:t>
      </w:r>
      <w:r w:rsidR="002751CB" w:rsidRPr="009874B9">
        <w:rPr>
          <w:rFonts w:eastAsia="Times New Roman"/>
          <w:color w:val="1A1A1A"/>
          <w:szCs w:val="30"/>
          <w:lang w:eastAsia="ru-RU"/>
        </w:rPr>
        <w:t xml:space="preserve">наложение </w:t>
      </w:r>
      <w:r w:rsidR="002751CB" w:rsidRPr="009874B9">
        <w:rPr>
          <w:rFonts w:eastAsia="Times New Roman"/>
          <w:b/>
          <w:bCs/>
          <w:color w:val="1A1A1A"/>
          <w:szCs w:val="30"/>
          <w:lang w:eastAsia="ru-RU"/>
        </w:rPr>
        <w:t xml:space="preserve">административного </w:t>
      </w:r>
      <w:r w:rsidR="004D3C07" w:rsidRPr="00624BD3">
        <w:rPr>
          <w:rFonts w:eastAsia="Times New Roman"/>
          <w:b/>
          <w:bCs/>
          <w:color w:val="1A1A1A"/>
          <w:szCs w:val="30"/>
          <w:lang w:eastAsia="ru-RU"/>
        </w:rPr>
        <w:t>штрафа</w:t>
      </w:r>
      <w:r w:rsidR="004D3C07" w:rsidRPr="006E515A">
        <w:rPr>
          <w:rFonts w:eastAsia="Times New Roman"/>
          <w:color w:val="1A1A1A"/>
          <w:szCs w:val="30"/>
          <w:lang w:eastAsia="ru-RU"/>
        </w:rPr>
        <w:t xml:space="preserve"> </w:t>
      </w:r>
      <w:r w:rsidR="004D3C07" w:rsidRPr="006E515A">
        <w:rPr>
          <w:rStyle w:val="word-wrapper"/>
          <w:color w:val="242424"/>
          <w:szCs w:val="30"/>
          <w:shd w:val="clear" w:color="auto" w:fill="FFFFFF"/>
        </w:rPr>
        <w:t>в</w:t>
      </w:r>
      <w:r w:rsidR="004D3C07">
        <w:rPr>
          <w:rStyle w:val="word-wrapper"/>
          <w:color w:val="242424"/>
          <w:szCs w:val="30"/>
          <w:shd w:val="clear" w:color="auto" w:fill="FFFFFF"/>
        </w:rPr>
        <w:t xml:space="preserve"> размере до 20 базовых </w:t>
      </w:r>
      <w:r w:rsidR="004D3C07">
        <w:rPr>
          <w:rStyle w:val="word-wrapper"/>
        </w:rPr>
        <w:t>величин</w:t>
      </w:r>
      <w:r w:rsidR="00624BD3">
        <w:rPr>
          <w:rStyle w:val="word-wrapper"/>
          <w:color w:val="242424"/>
          <w:szCs w:val="30"/>
          <w:shd w:val="clear" w:color="auto" w:fill="FFFFFF"/>
        </w:rPr>
        <w:t xml:space="preserve"> (ч.4 </w:t>
      </w:r>
      <w:r w:rsidR="002751CB">
        <w:rPr>
          <w:rStyle w:val="word-wrapper"/>
          <w:color w:val="242424"/>
          <w:szCs w:val="30"/>
          <w:shd w:val="clear" w:color="auto" w:fill="FFFFFF"/>
        </w:rPr>
        <w:t>ст</w:t>
      </w:r>
      <w:r w:rsidR="00624BD3">
        <w:rPr>
          <w:rStyle w:val="word-wrapper"/>
          <w:color w:val="242424"/>
          <w:szCs w:val="30"/>
          <w:shd w:val="clear" w:color="auto" w:fill="FFFFFF"/>
        </w:rPr>
        <w:t>.</w:t>
      </w:r>
      <w:r w:rsidR="002751CB">
        <w:rPr>
          <w:rStyle w:val="word-wrapper"/>
          <w:color w:val="242424"/>
          <w:szCs w:val="30"/>
          <w:shd w:val="clear" w:color="auto" w:fill="FFFFFF"/>
        </w:rPr>
        <w:t xml:space="preserve">13.6 </w:t>
      </w:r>
      <w:r w:rsidR="00624BD3">
        <w:rPr>
          <w:rStyle w:val="word-wrapper"/>
          <w:color w:val="242424"/>
          <w:szCs w:val="30"/>
          <w:shd w:val="clear" w:color="auto" w:fill="FFFFFF"/>
        </w:rPr>
        <w:t>КоАП Республики Беларусь).</w:t>
      </w:r>
    </w:p>
    <w:p w14:paraId="0CD8AF48" w14:textId="6FC917BF" w:rsidR="00D90025" w:rsidRDefault="00D90025" w:rsidP="00D90025">
      <w:pPr>
        <w:jc w:val="both"/>
        <w:rPr>
          <w:rStyle w:val="word-wrapper"/>
          <w:color w:val="242424"/>
          <w:szCs w:val="30"/>
          <w:shd w:val="clear" w:color="auto" w:fill="FFFFFF"/>
        </w:rPr>
      </w:pPr>
    </w:p>
    <w:p w14:paraId="10A0FC3E" w14:textId="6C5DE266" w:rsidR="00D90025" w:rsidRPr="00D90025" w:rsidRDefault="00D90025" w:rsidP="00D90025">
      <w:pPr>
        <w:jc w:val="both"/>
        <w:rPr>
          <w:rStyle w:val="word-wrapper"/>
          <w:b/>
          <w:bCs/>
          <w:color w:val="242424"/>
          <w:szCs w:val="30"/>
          <w:shd w:val="clear" w:color="auto" w:fill="FFFFFF"/>
        </w:rPr>
      </w:pPr>
      <w:r w:rsidRPr="00D90025">
        <w:rPr>
          <w:rStyle w:val="word-wrapper"/>
          <w:b/>
          <w:bCs/>
          <w:color w:val="242424"/>
          <w:szCs w:val="30"/>
          <w:shd w:val="clear" w:color="auto" w:fill="FFFFFF"/>
        </w:rPr>
        <w:t>Читать также:</w:t>
      </w:r>
    </w:p>
    <w:p w14:paraId="68C34489" w14:textId="262921C0" w:rsidR="00D90025" w:rsidRDefault="00D90025" w:rsidP="00D90025">
      <w:pPr>
        <w:jc w:val="both"/>
        <w:rPr>
          <w:rStyle w:val="word-wrapper"/>
          <w:color w:val="242424"/>
          <w:szCs w:val="30"/>
          <w:shd w:val="clear" w:color="auto" w:fill="FFFFFF"/>
        </w:rPr>
      </w:pPr>
    </w:p>
    <w:p w14:paraId="13007E65" w14:textId="1AA4A58F" w:rsidR="00D90025" w:rsidRPr="009A058F" w:rsidRDefault="009A058F" w:rsidP="00D90025">
      <w:pPr>
        <w:jc w:val="both"/>
        <w:rPr>
          <w:rStyle w:val="a4"/>
          <w:szCs w:val="30"/>
          <w:shd w:val="clear" w:color="auto" w:fill="FFFFFF"/>
        </w:rPr>
      </w:pPr>
      <w:r>
        <w:rPr>
          <w:iCs/>
          <w:szCs w:val="30"/>
        </w:rPr>
        <w:fldChar w:fldCharType="begin"/>
      </w:r>
      <w:r>
        <w:rPr>
          <w:iCs/>
          <w:szCs w:val="30"/>
        </w:rPr>
        <w:instrText xml:space="preserve"> HYPERLINK "https://www.nalog.gov.by/news/19199/" </w:instrText>
      </w:r>
      <w:r>
        <w:rPr>
          <w:iCs/>
          <w:szCs w:val="30"/>
        </w:rPr>
        <w:fldChar w:fldCharType="separate"/>
      </w:r>
      <w:r w:rsidR="00D90025" w:rsidRPr="009A058F">
        <w:rPr>
          <w:rStyle w:val="a4"/>
          <w:iCs/>
          <w:szCs w:val="30"/>
        </w:rPr>
        <w:t>Игровая зависимость? Работает телефон экстренной психологической помощи</w:t>
      </w:r>
    </w:p>
    <w:p w14:paraId="6D011039" w14:textId="49A9A5FD" w:rsidR="001920C8" w:rsidRDefault="009A058F" w:rsidP="00F1765D">
      <w:pPr>
        <w:jc w:val="right"/>
      </w:pPr>
      <w:r>
        <w:rPr>
          <w:iCs/>
          <w:szCs w:val="30"/>
        </w:rPr>
        <w:fldChar w:fldCharType="end"/>
      </w:r>
    </w:p>
    <w:p w14:paraId="1FD72AAA" w14:textId="3FE91CC2" w:rsidR="009874B9" w:rsidRPr="00B63A71" w:rsidRDefault="009874B9" w:rsidP="00F1765D">
      <w:pPr>
        <w:jc w:val="right"/>
      </w:pPr>
      <w:r w:rsidRPr="00B63A71">
        <w:t>Пресс-центр инспекции МНС</w:t>
      </w:r>
    </w:p>
    <w:p w14:paraId="1C8C9034" w14:textId="77777777" w:rsidR="009874B9" w:rsidRPr="00B63A71" w:rsidRDefault="009874B9" w:rsidP="00F1765D">
      <w:pPr>
        <w:jc w:val="right"/>
      </w:pPr>
      <w:r w:rsidRPr="00B63A71">
        <w:t>Республики Беларусь</w:t>
      </w:r>
    </w:p>
    <w:p w14:paraId="5784E990" w14:textId="77777777" w:rsidR="009874B9" w:rsidRPr="00B63A71" w:rsidRDefault="009874B9" w:rsidP="00F1765D">
      <w:pPr>
        <w:jc w:val="right"/>
      </w:pPr>
      <w:r w:rsidRPr="00B63A71">
        <w:t>по Могилевской области</w:t>
      </w:r>
    </w:p>
    <w:sectPr w:rsidR="009874B9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B9"/>
    <w:rsid w:val="000443DC"/>
    <w:rsid w:val="000968E7"/>
    <w:rsid w:val="000A6B71"/>
    <w:rsid w:val="001920C8"/>
    <w:rsid w:val="001A0E42"/>
    <w:rsid w:val="001A16D1"/>
    <w:rsid w:val="00220724"/>
    <w:rsid w:val="00241F8B"/>
    <w:rsid w:val="002751CB"/>
    <w:rsid w:val="00390083"/>
    <w:rsid w:val="0039078C"/>
    <w:rsid w:val="003C29C1"/>
    <w:rsid w:val="00415CB8"/>
    <w:rsid w:val="0043077D"/>
    <w:rsid w:val="004C4095"/>
    <w:rsid w:val="004D3C07"/>
    <w:rsid w:val="00533D64"/>
    <w:rsid w:val="00624BD3"/>
    <w:rsid w:val="00625907"/>
    <w:rsid w:val="006B332B"/>
    <w:rsid w:val="006E515A"/>
    <w:rsid w:val="006E6253"/>
    <w:rsid w:val="006F1992"/>
    <w:rsid w:val="008145B1"/>
    <w:rsid w:val="00852B23"/>
    <w:rsid w:val="0094746F"/>
    <w:rsid w:val="009711F1"/>
    <w:rsid w:val="009874B9"/>
    <w:rsid w:val="009A058F"/>
    <w:rsid w:val="00A11378"/>
    <w:rsid w:val="00A12466"/>
    <w:rsid w:val="00A246EE"/>
    <w:rsid w:val="00A46AA9"/>
    <w:rsid w:val="00AC79FF"/>
    <w:rsid w:val="00AD2F14"/>
    <w:rsid w:val="00B01CE2"/>
    <w:rsid w:val="00B93AA9"/>
    <w:rsid w:val="00C019CF"/>
    <w:rsid w:val="00C45E55"/>
    <w:rsid w:val="00D058B6"/>
    <w:rsid w:val="00D36DE9"/>
    <w:rsid w:val="00D90025"/>
    <w:rsid w:val="00E506CD"/>
    <w:rsid w:val="00E9111B"/>
    <w:rsid w:val="00EF1A52"/>
    <w:rsid w:val="00F055CC"/>
    <w:rsid w:val="00F1765D"/>
    <w:rsid w:val="00F4174D"/>
    <w:rsid w:val="00F81A94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2A41"/>
  <w15:chartTrackingRefBased/>
  <w15:docId w15:val="{59F59FA0-7F0D-4EB0-9549-1AC7B633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74B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74B9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74B9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unhideWhenUsed/>
    <w:rsid w:val="009874B9"/>
    <w:rPr>
      <w:color w:val="0000FF"/>
      <w:u w:val="single"/>
    </w:rPr>
  </w:style>
  <w:style w:type="character" w:customStyle="1" w:styleId="word-wrapper">
    <w:name w:val="word-wrapper"/>
    <w:basedOn w:val="a0"/>
    <w:rsid w:val="00F81A94"/>
  </w:style>
  <w:style w:type="paragraph" w:customStyle="1" w:styleId="p-normal">
    <w:name w:val="p-normal"/>
    <w:basedOn w:val="a"/>
    <w:rsid w:val="00AD2F14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h-normal">
    <w:name w:val="h-normal"/>
    <w:basedOn w:val="a0"/>
    <w:rsid w:val="00AD2F14"/>
  </w:style>
  <w:style w:type="character" w:customStyle="1" w:styleId="fake-non-breaking-space">
    <w:name w:val="fake-non-breaking-space"/>
    <w:basedOn w:val="a0"/>
    <w:rsid w:val="004D3C07"/>
  </w:style>
  <w:style w:type="character" w:styleId="a5">
    <w:name w:val="Unresolved Mention"/>
    <w:basedOn w:val="a0"/>
    <w:uiPriority w:val="99"/>
    <w:semiHidden/>
    <w:unhideWhenUsed/>
    <w:rsid w:val="00241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9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10</cp:revision>
  <dcterms:created xsi:type="dcterms:W3CDTF">2023-03-02T12:39:00Z</dcterms:created>
  <dcterms:modified xsi:type="dcterms:W3CDTF">2024-06-11T12:30:00Z</dcterms:modified>
</cp:coreProperties>
</file>