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4DC" w14:textId="77777777" w:rsidR="0020646F" w:rsidRPr="0020646F" w:rsidRDefault="0020646F" w:rsidP="0020646F">
      <w:pPr>
        <w:spacing w:after="100" w:afterAutospacing="1"/>
        <w:outlineLvl w:val="1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b/>
          <w:bCs/>
          <w:color w:val="1A1A1A"/>
          <w:sz w:val="28"/>
          <w:szCs w:val="28"/>
          <w:lang w:eastAsia="ru-RU"/>
        </w:rPr>
        <w:t>Об обеспечении дифференцированного учета в торговых объектах</w:t>
      </w:r>
    </w:p>
    <w:p w14:paraId="2A5CBF5C" w14:textId="77777777" w:rsidR="0020646F" w:rsidRPr="0020646F" w:rsidRDefault="0020646F" w:rsidP="0020646F">
      <w:pPr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color w:val="1A1A1A"/>
          <w:sz w:val="28"/>
          <w:szCs w:val="28"/>
          <w:lang w:eastAsia="ru-RU"/>
        </w:rPr>
        <w:t xml:space="preserve">С 10 марта 2023 г. субъекты хозяйствования </w:t>
      </w:r>
      <w:r w:rsidRPr="0020646F">
        <w:rPr>
          <w:rFonts w:eastAsia="Times New Roman"/>
          <w:color w:val="1A1A1A"/>
          <w:sz w:val="28"/>
          <w:szCs w:val="28"/>
          <w:u w:val="single"/>
          <w:lang w:eastAsia="ru-RU"/>
        </w:rPr>
        <w:t>в торговых объектах с торговой площадью </w:t>
      </w:r>
      <w:r w:rsidRPr="0020646F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>200 квадратных метров и более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 обязаны использовать </w:t>
      </w:r>
      <w:r w:rsidRPr="0020646F">
        <w:rPr>
          <w:rFonts w:eastAsia="Times New Roman"/>
          <w:color w:val="1A1A1A"/>
          <w:sz w:val="28"/>
          <w:szCs w:val="28"/>
          <w:bdr w:val="none" w:sz="0" w:space="0" w:color="auto" w:frame="1"/>
          <w:lang w:eastAsia="ru-RU"/>
        </w:rPr>
        <w:t>кассовый суммирующий аппарат или программную кассу (далее – кассовое оборудование),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 xml:space="preserve"> обеспечивающие дифференцированный учет данных о товарах с использованием международного идентификационного номера товара</w:t>
      </w:r>
      <w:r w:rsidRPr="0020646F">
        <w:rPr>
          <w:rFonts w:eastAsia="Times New Roman"/>
          <w:color w:val="1A1A1A"/>
          <w:sz w:val="28"/>
          <w:szCs w:val="28"/>
          <w:lang w:eastAsia="ru-RU"/>
        </w:rPr>
        <w:t> (далее – GTIN номер), а также формирование в платежном документе помимо иной информации, определенной в требованиях к кассовому суммирующему аппарату или программной кассе, 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наименования товара.</w:t>
      </w:r>
      <w:r w:rsidRPr="0020646F">
        <w:rPr>
          <w:rFonts w:eastAsia="Times New Roman"/>
          <w:color w:val="1A1A1A"/>
          <w:sz w:val="28"/>
          <w:szCs w:val="28"/>
          <w:lang w:eastAsia="ru-RU"/>
        </w:rPr>
        <w:t> Источником данных о GTIN номере является межведомственная распределенная информационная система «Банк данных электронных паспортов товаров» (далее – ePASS).</w:t>
      </w:r>
    </w:p>
    <w:p w14:paraId="4325F22E" w14:textId="77777777" w:rsidR="0020646F" w:rsidRPr="0020646F" w:rsidRDefault="0020646F" w:rsidP="0020646F">
      <w:pPr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color w:val="1A1A1A"/>
          <w:sz w:val="28"/>
          <w:szCs w:val="28"/>
          <w:lang w:eastAsia="ru-RU"/>
        </w:rPr>
        <w:t>Перечень товаров, которые могут не маркироваться штриховыми идентификационными кодами, определен в пункте 23 Положения о товарной нумерации и штриховом кодировании товаров (продукции) в Республике Беларусь, утвержденного постановлением Совета Министров Республики Беларусь от 24.05.2000 № 748 «О некоторых мерах по совершенствованию организации и дальнейшему развитию работ в области товарной нумерации и штрихового кодирования в Республике Беларусь» (далее - Положение № 748) и в таком случае способ обеспечения дифференцированного учета определяется субъектом торговли самостоятельно. При этом в платежном документе помимо иной информации, определенной в требованиях к кассовому суммирующему аппарату или программной кассе, в обязательном порядке 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должно содержаться наименование товара.</w:t>
      </w:r>
    </w:p>
    <w:p w14:paraId="21C8ACAC" w14:textId="77777777" w:rsidR="0020646F" w:rsidRPr="0020646F" w:rsidRDefault="0020646F" w:rsidP="0020646F">
      <w:pPr>
        <w:spacing w:before="240" w:after="24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color w:val="1A1A1A"/>
          <w:sz w:val="28"/>
          <w:szCs w:val="28"/>
          <w:lang w:eastAsia="ru-RU"/>
        </w:rPr>
        <w:t>В ином случае, при реализации товаров, не поименованных в пункте 23 Положения № 748, дифференцированный учет должен быть обеспечен с использованием (GTIN), содержащимся в ePASS.</w:t>
      </w:r>
    </w:p>
    <w:p w14:paraId="2A9513C9" w14:textId="77777777" w:rsidR="0020646F" w:rsidRPr="0020646F" w:rsidRDefault="0020646F" w:rsidP="0020646F">
      <w:pPr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color w:val="1A1A1A"/>
          <w:sz w:val="28"/>
          <w:szCs w:val="28"/>
          <w:lang w:eastAsia="ru-RU"/>
        </w:rPr>
        <w:t>Налоговыми органами 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установлены случаи несоблюдения субъектами хозяйствования требований законодательства </w:t>
      </w:r>
      <w:r w:rsidRPr="0020646F">
        <w:rPr>
          <w:rFonts w:eastAsia="Times New Roman"/>
          <w:color w:val="1A1A1A"/>
          <w:sz w:val="28"/>
          <w:szCs w:val="28"/>
          <w:lang w:eastAsia="ru-RU"/>
        </w:rPr>
        <w:t>по использованию кассового оборудования, обеспечивающего 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дифференцированный учет данных о товарах.</w:t>
      </w:r>
      <w:r w:rsidRPr="0020646F">
        <w:rPr>
          <w:rFonts w:eastAsia="Times New Roman"/>
          <w:color w:val="1A1A1A"/>
          <w:sz w:val="28"/>
          <w:szCs w:val="28"/>
          <w:lang w:eastAsia="ru-RU"/>
        </w:rPr>
        <w:t> Так, субъектами хозяйствования осуществляется реализация импортных товаров, информация о которых в ePASS отсутствует, что является нарушением порядка использования кассового оборудования.</w:t>
      </w:r>
    </w:p>
    <w:p w14:paraId="3424BC92" w14:textId="77777777" w:rsidR="0020646F" w:rsidRPr="0020646F" w:rsidRDefault="0020646F" w:rsidP="0020646F">
      <w:pPr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color w:val="1A1A1A"/>
          <w:sz w:val="28"/>
          <w:szCs w:val="28"/>
          <w:lang w:eastAsia="ru-RU"/>
        </w:rPr>
        <w:t>Напоминаем, что за использование кассового оборудования, 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не обеспечивающего дифференцированный учет данных о товарах в торговых объектах с торговой площадью 200 квадратных метров и более,</w:t>
      </w:r>
      <w:r w:rsidRPr="0020646F">
        <w:rPr>
          <w:rFonts w:eastAsia="Times New Roman"/>
          <w:color w:val="1A1A1A"/>
          <w:sz w:val="28"/>
          <w:szCs w:val="28"/>
          <w:lang w:eastAsia="ru-RU"/>
        </w:rPr>
        <w:t> предусмотрена административная ответственность частью первой статьи 13.15 Кодекса Республики Беларусь об административных правонарушениях и влечет наложение 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штрафа</w:t>
      </w:r>
      <w:r w:rsidRPr="0020646F">
        <w:rPr>
          <w:rFonts w:eastAsia="Times New Roman"/>
          <w:color w:val="1A1A1A"/>
          <w:sz w:val="28"/>
          <w:szCs w:val="28"/>
          <w:lang w:eastAsia="ru-RU"/>
        </w:rPr>
        <w:t> в размере:</w:t>
      </w:r>
    </w:p>
    <w:p w14:paraId="78F1F198" w14:textId="74CE58FD" w:rsidR="0020646F" w:rsidRPr="00AB52A1" w:rsidRDefault="0020646F" w:rsidP="0020646F">
      <w:pPr>
        <w:jc w:val="both"/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</w:pPr>
      <w:r w:rsidRPr="0020646F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-</w:t>
      </w:r>
      <w:r w:rsidRPr="00AB52A1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 </w:t>
      </w:r>
      <w:r w:rsidRPr="0020646F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до 50 базовых величин;</w:t>
      </w:r>
    </w:p>
    <w:p w14:paraId="1771AE7D" w14:textId="0621BA7B" w:rsidR="0020646F" w:rsidRPr="00AB52A1" w:rsidRDefault="0020646F" w:rsidP="0020646F">
      <w:pPr>
        <w:jc w:val="both"/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</w:pPr>
      <w:r w:rsidRPr="0020646F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-</w:t>
      </w:r>
      <w:r w:rsidRPr="00AB52A1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 </w:t>
      </w:r>
      <w:r w:rsidRPr="0020646F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 xml:space="preserve">на индивидуального предпринимателя </w:t>
      </w:r>
      <w:r w:rsidR="00AB52A1" w:rsidRPr="00AB52A1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–</w:t>
      </w:r>
      <w:r w:rsidRPr="0020646F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 xml:space="preserve"> до 100 базовых величин;</w:t>
      </w:r>
    </w:p>
    <w:p w14:paraId="0062E983" w14:textId="32054A06" w:rsidR="0020646F" w:rsidRPr="0020646F" w:rsidRDefault="0020646F" w:rsidP="0020646F">
      <w:pPr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-</w:t>
      </w:r>
      <w:r w:rsidRPr="00AB52A1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 </w:t>
      </w:r>
      <w:r w:rsidRPr="0020646F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 xml:space="preserve">на юридическое лицо </w:t>
      </w:r>
      <w:r w:rsidR="00AB52A1" w:rsidRPr="00AB52A1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–</w:t>
      </w:r>
      <w:r w:rsidRPr="0020646F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 xml:space="preserve"> до 200 базовых величин.</w:t>
      </w:r>
    </w:p>
    <w:p w14:paraId="6DA4EA1A" w14:textId="77777777" w:rsidR="0020646F" w:rsidRPr="0020646F" w:rsidRDefault="0020646F" w:rsidP="00AB52A1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color w:val="1A1A1A"/>
          <w:sz w:val="28"/>
          <w:szCs w:val="28"/>
          <w:lang w:eastAsia="ru-RU"/>
        </w:rPr>
        <w:lastRenderedPageBreak/>
        <w:t>С 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1 июля 2025 г.</w:t>
      </w:r>
      <w:r w:rsidRPr="0020646F">
        <w:rPr>
          <w:rFonts w:eastAsia="Times New Roman"/>
          <w:color w:val="1A1A1A"/>
          <w:sz w:val="28"/>
          <w:szCs w:val="28"/>
          <w:lang w:eastAsia="ru-RU"/>
        </w:rPr>
        <w:t xml:space="preserve"> для юридических лиц и индивидуальных предпринимателей, </w:t>
      </w:r>
      <w:r w:rsidRPr="0020646F">
        <w:rPr>
          <w:rFonts w:eastAsia="Times New Roman"/>
          <w:color w:val="1A1A1A"/>
          <w:sz w:val="28"/>
          <w:szCs w:val="28"/>
          <w:u w:val="single"/>
          <w:lang w:eastAsia="ru-RU"/>
        </w:rPr>
        <w:t>осуществляющих продажу товаров, подлежащих маркировке</w:t>
      </w:r>
      <w:r w:rsidRPr="0020646F">
        <w:rPr>
          <w:rFonts w:eastAsia="Times New Roman"/>
          <w:color w:val="1A1A1A"/>
          <w:sz w:val="28"/>
          <w:szCs w:val="28"/>
          <w:lang w:eastAsia="ru-RU"/>
        </w:rPr>
        <w:t xml:space="preserve"> средствами идентификации (далее - СИ) и унифицированными контрольными знаками (далее - УКЗ), 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вводится обязанность обеспечивать дифференцированный учет</w:t>
      </w:r>
      <w:r w:rsidRPr="0020646F">
        <w:rPr>
          <w:rFonts w:eastAsia="Times New Roman"/>
          <w:color w:val="1A1A1A"/>
          <w:sz w:val="28"/>
          <w:szCs w:val="28"/>
          <w:lang w:eastAsia="ru-RU"/>
        </w:rPr>
        <w:t> данных о реализуемых товарах, 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вне зависимости от размера торговой площади торгового объекта.</w:t>
      </w:r>
    </w:p>
    <w:p w14:paraId="6AB5EB65" w14:textId="77777777" w:rsidR="0020646F" w:rsidRPr="0020646F" w:rsidRDefault="0020646F" w:rsidP="0020646F">
      <w:pPr>
        <w:spacing w:before="240" w:after="24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color w:val="1A1A1A"/>
          <w:sz w:val="28"/>
          <w:szCs w:val="28"/>
          <w:lang w:eastAsia="ru-RU"/>
        </w:rPr>
        <w:t>Для обеспечения требований по реализации маркированных товаров субъектам хозяйствования заблаговременно необходимо:</w:t>
      </w:r>
    </w:p>
    <w:p w14:paraId="601464F8" w14:textId="5E81D897" w:rsidR="0020646F" w:rsidRPr="0020646F" w:rsidRDefault="0020646F" w:rsidP="0020646F">
      <w:pPr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color w:val="1A1A1A"/>
          <w:sz w:val="28"/>
          <w:szCs w:val="28"/>
          <w:lang w:eastAsia="ru-RU"/>
        </w:rPr>
        <w:t>1. изучить 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перечни товаров, </w:t>
      </w:r>
      <w:r w:rsidRPr="0020646F">
        <w:rPr>
          <w:rFonts w:eastAsia="Times New Roman"/>
          <w:color w:val="1A1A1A"/>
          <w:sz w:val="28"/>
          <w:szCs w:val="28"/>
          <w:lang w:eastAsia="ru-RU"/>
        </w:rPr>
        <w:t>подлежащих маркировке СИ и УКЗ в соответствии с постановлением Совета Министров Республики Беларусь от 29.07.2011 №</w:t>
      </w:r>
      <w:r w:rsidR="00AB52A1" w:rsidRPr="00AB52A1">
        <w:rPr>
          <w:rFonts w:eastAsia="Times New Roman"/>
          <w:color w:val="1A1A1A"/>
          <w:sz w:val="28"/>
          <w:szCs w:val="28"/>
          <w:lang w:eastAsia="ru-RU"/>
        </w:rPr>
        <w:t> </w:t>
      </w:r>
      <w:r w:rsidRPr="0020646F">
        <w:rPr>
          <w:rFonts w:eastAsia="Times New Roman"/>
          <w:color w:val="1A1A1A"/>
          <w:sz w:val="28"/>
          <w:szCs w:val="28"/>
          <w:lang w:eastAsia="ru-RU"/>
        </w:rPr>
        <w:t>1030 «О подлежащих маркировке товарах» и (или) решениями Совета Евразийской экономической комиссии;</w:t>
      </w:r>
    </w:p>
    <w:p w14:paraId="097271C9" w14:textId="77777777" w:rsidR="0020646F" w:rsidRPr="0020646F" w:rsidRDefault="0020646F" w:rsidP="0020646F">
      <w:pPr>
        <w:spacing w:before="240" w:after="24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color w:val="1A1A1A"/>
          <w:sz w:val="28"/>
          <w:szCs w:val="28"/>
          <w:lang w:eastAsia="ru-RU"/>
        </w:rPr>
        <w:t>2. обеспечивать дифференцированный учет данных о товарах, подлежащих маркировке СИ или УКЗ в Республике Беларусь, а также в Евразийском экономическом союзе;</w:t>
      </w:r>
    </w:p>
    <w:p w14:paraId="0683F0E2" w14:textId="77777777" w:rsidR="0020646F" w:rsidRPr="0020646F" w:rsidRDefault="0020646F" w:rsidP="0020646F">
      <w:pPr>
        <w:spacing w:before="240" w:after="24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color w:val="1A1A1A"/>
          <w:sz w:val="28"/>
          <w:szCs w:val="28"/>
          <w:lang w:eastAsia="ru-RU"/>
        </w:rPr>
        <w:t>3. инициировать заключение договора (дополнительного соглашения к действующему договору) с производителями кассовых суммирующих аппаратов, операторами программных касс на своевременную поставку доработанного под новые требования кассового оборудования (обновление программного обеспечения используемого кассового оборудования) с предусмотрением в таких договорах мер ответственности за несоблюдение запланированных сроков поставки (доработки) кассового оборудования;</w:t>
      </w:r>
    </w:p>
    <w:p w14:paraId="0EBCBECF" w14:textId="77777777" w:rsidR="0020646F" w:rsidRPr="0020646F" w:rsidRDefault="0020646F" w:rsidP="0020646F">
      <w:pPr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color w:val="1A1A1A"/>
          <w:sz w:val="28"/>
          <w:szCs w:val="28"/>
          <w:lang w:eastAsia="ru-RU"/>
        </w:rPr>
        <w:t>4. 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приобрести (обновить) кассовое оборудование,</w:t>
      </w:r>
      <w:r w:rsidRPr="0020646F">
        <w:rPr>
          <w:rFonts w:eastAsia="Times New Roman"/>
          <w:color w:val="1A1A1A"/>
          <w:sz w:val="28"/>
          <w:szCs w:val="28"/>
          <w:lang w:eastAsia="ru-RU"/>
        </w:rPr>
        <w:t> обеспечивающее дифференцированный учет данных о товарах и реализацию маркированных товаров </w:t>
      </w:r>
      <w:r w:rsidRPr="0020646F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(в настоящее время производителями кассовых суммирующих аппаратов и операторами программных кассовых систем проводится работа по доработке кассового оборудования на соответствие новым требованиям);</w:t>
      </w:r>
    </w:p>
    <w:p w14:paraId="79F0C138" w14:textId="77777777" w:rsidR="0020646F" w:rsidRPr="0020646F" w:rsidRDefault="0020646F" w:rsidP="0020646F">
      <w:pPr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20646F">
        <w:rPr>
          <w:rFonts w:eastAsia="Times New Roman"/>
          <w:color w:val="1A1A1A"/>
          <w:sz w:val="28"/>
          <w:szCs w:val="28"/>
          <w:lang w:eastAsia="ru-RU"/>
        </w:rPr>
        <w:t>5. </w:t>
      </w:r>
      <w:r w:rsidRPr="0020646F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при реализации товаров, подлежащих маркировке, обеспечивать считывание GTIN,</w:t>
      </w:r>
      <w:r w:rsidRPr="0020646F">
        <w:rPr>
          <w:rFonts w:eastAsia="Times New Roman"/>
          <w:color w:val="1A1A1A"/>
          <w:sz w:val="28"/>
          <w:szCs w:val="28"/>
          <w:lang w:eastAsia="ru-RU"/>
        </w:rPr>
        <w:t> средств идентификации и (или) УКЗ.</w:t>
      </w:r>
    </w:p>
    <w:p w14:paraId="1023A543" w14:textId="365F0880" w:rsidR="00A46AA9" w:rsidRDefault="00A46AA9" w:rsidP="00AB52A1">
      <w:pPr>
        <w:jc w:val="right"/>
        <w:rPr>
          <w:sz w:val="28"/>
          <w:szCs w:val="28"/>
        </w:rPr>
      </w:pPr>
    </w:p>
    <w:p w14:paraId="4A7094A1" w14:textId="77777777" w:rsidR="00AB52A1" w:rsidRPr="00B63A71" w:rsidRDefault="00AB52A1" w:rsidP="00B63A71">
      <w:pPr>
        <w:jc w:val="right"/>
      </w:pPr>
      <w:r w:rsidRPr="00B63A71">
        <w:t>Пресс-центр инспекции МНС</w:t>
      </w:r>
    </w:p>
    <w:p w14:paraId="5C02CD9C" w14:textId="77777777" w:rsidR="00AB52A1" w:rsidRPr="00B63A71" w:rsidRDefault="00AB52A1" w:rsidP="00B63A71">
      <w:pPr>
        <w:jc w:val="right"/>
      </w:pPr>
      <w:r w:rsidRPr="00B63A71">
        <w:t>Республики Беларусь</w:t>
      </w:r>
    </w:p>
    <w:p w14:paraId="7296D3CD" w14:textId="77777777" w:rsidR="00AB52A1" w:rsidRPr="00B63A71" w:rsidRDefault="00AB52A1" w:rsidP="00B63A71">
      <w:pPr>
        <w:jc w:val="right"/>
      </w:pPr>
      <w:r w:rsidRPr="00B63A71">
        <w:t>по Могилевской области</w:t>
      </w:r>
    </w:p>
    <w:sectPr w:rsidR="00AB52A1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6F"/>
    <w:rsid w:val="001A0E42"/>
    <w:rsid w:val="001B4AD1"/>
    <w:rsid w:val="001B5D85"/>
    <w:rsid w:val="001C74DC"/>
    <w:rsid w:val="0020646F"/>
    <w:rsid w:val="00390083"/>
    <w:rsid w:val="003C29C1"/>
    <w:rsid w:val="00415CB8"/>
    <w:rsid w:val="00533D64"/>
    <w:rsid w:val="006061E8"/>
    <w:rsid w:val="00625907"/>
    <w:rsid w:val="0094746F"/>
    <w:rsid w:val="00A46AA9"/>
    <w:rsid w:val="00AB52A1"/>
    <w:rsid w:val="00B35812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94AE"/>
  <w15:chartTrackingRefBased/>
  <w15:docId w15:val="{3E04C79C-6BFE-4B33-AF0A-1B6B642F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646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46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646F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dcterms:created xsi:type="dcterms:W3CDTF">2024-04-05T10:55:00Z</dcterms:created>
  <dcterms:modified xsi:type="dcterms:W3CDTF">2024-06-11T12:30:00Z</dcterms:modified>
</cp:coreProperties>
</file>