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03" w:rsidRPr="00B54503" w:rsidRDefault="00B54503" w:rsidP="00B54503">
      <w:pPr>
        <w:spacing w:after="0" w:line="240" w:lineRule="auto"/>
        <w:ind w:right="-1"/>
        <w:rPr>
          <w:rFonts w:ascii="Times New Roman" w:hAnsi="Times New Roman"/>
          <w:b/>
          <w:sz w:val="24"/>
          <w:szCs w:val="24"/>
        </w:rPr>
      </w:pPr>
      <w:r>
        <w:rPr>
          <w:rFonts w:ascii="Times New Roman" w:hAnsi="Times New Roman"/>
          <w:b/>
          <w:sz w:val="24"/>
          <w:szCs w:val="24"/>
        </w:rPr>
        <w:t xml:space="preserve">       </w:t>
      </w:r>
      <w:r w:rsidRPr="00B54503">
        <w:rPr>
          <w:rFonts w:ascii="Times New Roman" w:hAnsi="Times New Roman"/>
          <w:b/>
          <w:sz w:val="24"/>
          <w:szCs w:val="24"/>
        </w:rPr>
        <w:t>Материалы для ИПГ, февраль 2023 г.Чериков</w:t>
      </w:r>
    </w:p>
    <w:p w:rsidR="00B54503" w:rsidRPr="00B54503" w:rsidRDefault="00B54503" w:rsidP="00B54503">
      <w:pPr>
        <w:pStyle w:val="a3"/>
        <w:numPr>
          <w:ilvl w:val="0"/>
          <w:numId w:val="1"/>
        </w:numPr>
        <w:spacing w:after="0" w:line="240" w:lineRule="auto"/>
        <w:ind w:left="0" w:right="-1" w:firstLine="360"/>
        <w:rPr>
          <w:rFonts w:ascii="Times New Roman" w:hAnsi="Times New Roman"/>
          <w:b/>
          <w:sz w:val="24"/>
          <w:szCs w:val="24"/>
        </w:rPr>
      </w:pPr>
      <w:r w:rsidRPr="00B54503">
        <w:rPr>
          <w:rFonts w:ascii="Times New Roman" w:hAnsi="Times New Roman"/>
          <w:b/>
          <w:sz w:val="24"/>
          <w:szCs w:val="24"/>
        </w:rPr>
        <w:t>ОБЕСПЕЧЕНИЕ ВОЕННОЙ БЕЗОПАСНОСТИ – ВАЖНЕЙШИЙ ФАКТОР РАЗВИТИЯ РЕСПУБЛИКИ БЕЛАРУСЬ В СОВРЕМЕННЫХ УСЛОВИЯХ (к 105-летию Вооруженных Сил Республики Беларусь);</w:t>
      </w:r>
    </w:p>
    <w:p w:rsidR="00B54503" w:rsidRPr="00B54503" w:rsidRDefault="00B54503" w:rsidP="00B54503">
      <w:pPr>
        <w:pStyle w:val="a3"/>
        <w:numPr>
          <w:ilvl w:val="0"/>
          <w:numId w:val="1"/>
        </w:numPr>
        <w:spacing w:after="0" w:line="240" w:lineRule="auto"/>
        <w:ind w:left="0" w:right="-1" w:firstLine="360"/>
        <w:jc w:val="both"/>
        <w:rPr>
          <w:rFonts w:ascii="Times New Roman" w:hAnsi="Times New Roman"/>
          <w:b/>
          <w:iCs/>
          <w:sz w:val="24"/>
          <w:szCs w:val="24"/>
        </w:rPr>
      </w:pPr>
      <w:r w:rsidRPr="00B54503">
        <w:rPr>
          <w:rFonts w:ascii="Times New Roman" w:hAnsi="Times New Roman"/>
          <w:b/>
          <w:iCs/>
          <w:sz w:val="24"/>
          <w:szCs w:val="24"/>
        </w:rPr>
        <w:t>А</w:t>
      </w:r>
      <w:r>
        <w:rPr>
          <w:rFonts w:ascii="Times New Roman" w:hAnsi="Times New Roman"/>
          <w:b/>
          <w:iCs/>
          <w:sz w:val="24"/>
          <w:szCs w:val="24"/>
        </w:rPr>
        <w:t>нализ причин производственного травматизма и мероприятия по его предупреждению;</w:t>
      </w:r>
    </w:p>
    <w:p w:rsidR="005E5582" w:rsidRDefault="00B54503" w:rsidP="00B54503">
      <w:pPr>
        <w:pStyle w:val="a3"/>
        <w:numPr>
          <w:ilvl w:val="0"/>
          <w:numId w:val="1"/>
        </w:numPr>
        <w:spacing w:after="0" w:line="240" w:lineRule="auto"/>
        <w:ind w:left="0" w:right="-1" w:firstLine="360"/>
        <w:jc w:val="both"/>
        <w:rPr>
          <w:rFonts w:ascii="Times New Roman" w:hAnsi="Times New Roman"/>
          <w:b/>
          <w:iCs/>
          <w:sz w:val="24"/>
          <w:szCs w:val="24"/>
        </w:rPr>
      </w:pPr>
      <w:r w:rsidRPr="005E5582">
        <w:rPr>
          <w:rFonts w:ascii="Times New Roman" w:hAnsi="Times New Roman"/>
          <w:b/>
          <w:iCs/>
          <w:sz w:val="24"/>
          <w:szCs w:val="24"/>
        </w:rPr>
        <w:t xml:space="preserve">Основные причины пожаров. Неосторожное обращение с огнем. Печная безопасность. Отравление угарным </w:t>
      </w:r>
      <w:r w:rsidR="003C70B7">
        <w:rPr>
          <w:rFonts w:ascii="Times New Roman" w:hAnsi="Times New Roman"/>
          <w:b/>
          <w:iCs/>
          <w:sz w:val="24"/>
          <w:szCs w:val="24"/>
        </w:rPr>
        <w:t>газом. Электробезопасность. Лед;</w:t>
      </w:r>
    </w:p>
    <w:p w:rsidR="003C70B7" w:rsidRPr="003C70B7" w:rsidRDefault="00B54503" w:rsidP="003C70B7">
      <w:pPr>
        <w:pStyle w:val="a3"/>
        <w:numPr>
          <w:ilvl w:val="0"/>
          <w:numId w:val="1"/>
        </w:numPr>
        <w:spacing w:after="0" w:line="240" w:lineRule="auto"/>
        <w:ind w:left="0" w:right="-1" w:firstLine="360"/>
        <w:jc w:val="both"/>
        <w:rPr>
          <w:rFonts w:ascii="Times New Roman" w:hAnsi="Times New Roman"/>
          <w:b/>
          <w:sz w:val="24"/>
          <w:szCs w:val="24"/>
        </w:rPr>
      </w:pPr>
      <w:r w:rsidRPr="005E5582">
        <w:rPr>
          <w:rFonts w:ascii="Times New Roman" w:hAnsi="Times New Roman"/>
          <w:b/>
          <w:iCs/>
          <w:sz w:val="24"/>
          <w:szCs w:val="24"/>
        </w:rPr>
        <w:t>Б</w:t>
      </w:r>
      <w:r w:rsidR="005E5582">
        <w:rPr>
          <w:rFonts w:ascii="Times New Roman" w:hAnsi="Times New Roman"/>
          <w:b/>
          <w:iCs/>
          <w:sz w:val="24"/>
          <w:szCs w:val="24"/>
        </w:rPr>
        <w:t>езопасная эксплуатация газовых приборов в жилых помещениях. Хранение легковоспламеняющихс</w:t>
      </w:r>
      <w:r w:rsidR="003C70B7">
        <w:rPr>
          <w:rFonts w:ascii="Times New Roman" w:hAnsi="Times New Roman"/>
          <w:b/>
          <w:iCs/>
          <w:sz w:val="24"/>
          <w:szCs w:val="24"/>
        </w:rPr>
        <w:t>я и горючих жидкостей;</w:t>
      </w:r>
    </w:p>
    <w:p w:rsidR="003C70B7" w:rsidRPr="002E444C" w:rsidRDefault="003C70B7" w:rsidP="003C70B7">
      <w:pPr>
        <w:pStyle w:val="a3"/>
        <w:numPr>
          <w:ilvl w:val="0"/>
          <w:numId w:val="1"/>
        </w:numPr>
        <w:spacing w:after="0" w:line="240" w:lineRule="auto"/>
        <w:ind w:left="0" w:right="-1" w:firstLine="360"/>
        <w:jc w:val="both"/>
        <w:rPr>
          <w:rFonts w:ascii="Times New Roman" w:hAnsi="Times New Roman"/>
          <w:b/>
          <w:sz w:val="24"/>
          <w:szCs w:val="24"/>
        </w:rPr>
      </w:pPr>
      <w:r w:rsidRPr="003C70B7">
        <w:rPr>
          <w:rFonts w:ascii="Times New Roman" w:hAnsi="Times New Roman"/>
          <w:b/>
          <w:iCs/>
          <w:sz w:val="24"/>
          <w:szCs w:val="24"/>
        </w:rPr>
        <w:t>Проведение областного комплексного профилактического мероприятия  «Вместе МЫ сила»</w:t>
      </w:r>
      <w:r>
        <w:rPr>
          <w:rFonts w:ascii="Times New Roman" w:hAnsi="Times New Roman"/>
          <w:b/>
          <w:iCs/>
          <w:sz w:val="24"/>
          <w:szCs w:val="24"/>
        </w:rPr>
        <w:t>;</w:t>
      </w:r>
    </w:p>
    <w:p w:rsidR="002E444C" w:rsidRDefault="002E444C" w:rsidP="002E444C">
      <w:pPr>
        <w:pStyle w:val="a3"/>
        <w:numPr>
          <w:ilvl w:val="0"/>
          <w:numId w:val="1"/>
        </w:numPr>
        <w:rPr>
          <w:rFonts w:ascii="Times New Roman" w:hAnsi="Times New Roman"/>
          <w:b/>
          <w:sz w:val="24"/>
          <w:szCs w:val="24"/>
        </w:rPr>
      </w:pPr>
      <w:r w:rsidRPr="002E444C">
        <w:rPr>
          <w:rFonts w:ascii="Times New Roman" w:hAnsi="Times New Roman"/>
          <w:b/>
          <w:sz w:val="24"/>
          <w:szCs w:val="24"/>
        </w:rPr>
        <w:t>Профилактика семейного неблагополучия и социального сиротства</w:t>
      </w:r>
      <w:r w:rsidR="007C6BE3">
        <w:rPr>
          <w:rFonts w:ascii="Times New Roman" w:hAnsi="Times New Roman"/>
          <w:b/>
          <w:sz w:val="24"/>
          <w:szCs w:val="24"/>
        </w:rPr>
        <w:t>;</w:t>
      </w:r>
    </w:p>
    <w:p w:rsidR="002E444C" w:rsidRPr="007C6BE3" w:rsidRDefault="007C6BE3" w:rsidP="007C6BE3">
      <w:pPr>
        <w:pStyle w:val="a3"/>
        <w:numPr>
          <w:ilvl w:val="0"/>
          <w:numId w:val="1"/>
        </w:numPr>
        <w:spacing w:after="0"/>
        <w:jc w:val="both"/>
        <w:rPr>
          <w:rFonts w:ascii="Times New Roman" w:hAnsi="Times New Roman"/>
          <w:b/>
          <w:sz w:val="24"/>
          <w:szCs w:val="24"/>
          <w:shd w:val="clear" w:color="auto" w:fill="FFFFFF"/>
        </w:rPr>
      </w:pPr>
      <w:r w:rsidRPr="007C6BE3">
        <w:rPr>
          <w:rFonts w:ascii="Times New Roman" w:hAnsi="Times New Roman"/>
          <w:b/>
          <w:sz w:val="24"/>
          <w:szCs w:val="24"/>
          <w:shd w:val="clear" w:color="auto" w:fill="FFFFFF"/>
        </w:rPr>
        <w:t>Предупреждение ДТП, связанных с участием в дорожном движении лиц находящихся в состоянии алкогольного опьянения</w:t>
      </w:r>
      <w:r>
        <w:rPr>
          <w:rFonts w:ascii="Times New Roman" w:hAnsi="Times New Roman"/>
          <w:b/>
          <w:sz w:val="24"/>
          <w:szCs w:val="24"/>
          <w:shd w:val="clear" w:color="auto" w:fill="FFFFFF"/>
        </w:rPr>
        <w:t>.</w:t>
      </w:r>
    </w:p>
    <w:p w:rsidR="005E5582" w:rsidRPr="007C6BE3" w:rsidRDefault="005E5582" w:rsidP="007C6BE3">
      <w:pPr>
        <w:spacing w:after="0" w:line="240" w:lineRule="auto"/>
        <w:ind w:right="-1"/>
        <w:jc w:val="both"/>
        <w:rPr>
          <w:rFonts w:ascii="Times New Roman" w:hAnsi="Times New Roman"/>
          <w:b/>
          <w:sz w:val="24"/>
          <w:szCs w:val="24"/>
        </w:rPr>
      </w:pPr>
    </w:p>
    <w:p w:rsidR="005E5582" w:rsidRDefault="005E5582" w:rsidP="005E5582">
      <w:pPr>
        <w:spacing w:after="0" w:line="240" w:lineRule="auto"/>
        <w:ind w:right="-1"/>
        <w:jc w:val="both"/>
        <w:rPr>
          <w:rFonts w:ascii="Times New Roman" w:hAnsi="Times New Roman"/>
          <w:b/>
          <w:sz w:val="24"/>
          <w:szCs w:val="24"/>
        </w:rPr>
      </w:pPr>
    </w:p>
    <w:p w:rsidR="00B54503" w:rsidRPr="005E5582" w:rsidRDefault="00B54503" w:rsidP="005E5582">
      <w:pPr>
        <w:pStyle w:val="a3"/>
        <w:numPr>
          <w:ilvl w:val="0"/>
          <w:numId w:val="2"/>
        </w:numPr>
        <w:spacing w:after="0" w:line="240" w:lineRule="auto"/>
        <w:ind w:right="-1"/>
        <w:jc w:val="center"/>
        <w:rPr>
          <w:rFonts w:ascii="Times New Roman" w:hAnsi="Times New Roman"/>
          <w:b/>
          <w:sz w:val="24"/>
          <w:szCs w:val="24"/>
        </w:rPr>
      </w:pPr>
      <w:r w:rsidRPr="005E5582">
        <w:rPr>
          <w:rFonts w:ascii="Times New Roman" w:hAnsi="Times New Roman"/>
          <w:b/>
          <w:sz w:val="24"/>
          <w:szCs w:val="24"/>
        </w:rPr>
        <w:t>ОБЕСПЕЧЕНИЕ ВОЕННОЙ БЕЗОПАСНОСТИ –</w:t>
      </w:r>
      <w:r w:rsidR="005E5582" w:rsidRPr="005E5582">
        <w:rPr>
          <w:rFonts w:ascii="Times New Roman" w:hAnsi="Times New Roman"/>
          <w:b/>
          <w:sz w:val="24"/>
          <w:szCs w:val="24"/>
        </w:rPr>
        <w:t xml:space="preserve"> </w:t>
      </w:r>
      <w:r w:rsidRPr="005E5582">
        <w:rPr>
          <w:rFonts w:ascii="Times New Roman" w:hAnsi="Times New Roman"/>
          <w:b/>
          <w:sz w:val="24"/>
          <w:szCs w:val="24"/>
        </w:rPr>
        <w:t>ВАЖНЕЙШИЙ ФАКТОР РАЗВИТИЯ РЕСПУБЛИКИ БЕЛАРУСЬ</w:t>
      </w:r>
      <w:r w:rsidR="005E5582" w:rsidRPr="005E5582">
        <w:rPr>
          <w:rFonts w:ascii="Times New Roman" w:hAnsi="Times New Roman"/>
          <w:b/>
          <w:sz w:val="24"/>
          <w:szCs w:val="24"/>
        </w:rPr>
        <w:t xml:space="preserve"> </w:t>
      </w:r>
      <w:r w:rsidRPr="005E5582">
        <w:rPr>
          <w:rFonts w:ascii="Times New Roman" w:hAnsi="Times New Roman"/>
          <w:b/>
          <w:sz w:val="24"/>
          <w:szCs w:val="24"/>
        </w:rPr>
        <w:t>В СОВРЕМЕННЫХ УСЛОВИЯХ</w:t>
      </w:r>
    </w:p>
    <w:p w:rsidR="00B54503" w:rsidRPr="00B54503" w:rsidRDefault="00B54503" w:rsidP="005E5582">
      <w:pPr>
        <w:spacing w:after="0" w:line="240" w:lineRule="auto"/>
        <w:ind w:right="-1"/>
        <w:jc w:val="center"/>
        <w:rPr>
          <w:rFonts w:ascii="Times New Roman" w:hAnsi="Times New Roman"/>
          <w:b/>
          <w:sz w:val="24"/>
          <w:szCs w:val="24"/>
        </w:rPr>
      </w:pPr>
      <w:r w:rsidRPr="00B54503">
        <w:rPr>
          <w:rFonts w:ascii="Times New Roman" w:hAnsi="Times New Roman"/>
          <w:b/>
          <w:sz w:val="24"/>
          <w:szCs w:val="24"/>
        </w:rPr>
        <w:t>(к 105-летию Вооруженных Сил Республики Беларусь)</w:t>
      </w:r>
    </w:p>
    <w:p w:rsidR="00B54503" w:rsidRPr="00B54503" w:rsidRDefault="00B54503" w:rsidP="005E5582">
      <w:pPr>
        <w:tabs>
          <w:tab w:val="left" w:pos="2655"/>
        </w:tabs>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ab/>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B54503" w:rsidRPr="00B54503" w:rsidRDefault="00B54503" w:rsidP="00B54503">
      <w:pPr>
        <w:spacing w:after="0" w:line="240" w:lineRule="auto"/>
        <w:ind w:right="-1" w:firstLine="709"/>
        <w:jc w:val="both"/>
        <w:rPr>
          <w:rFonts w:ascii="Times New Roman" w:hAnsi="Times New Roman"/>
          <w:sz w:val="24"/>
          <w:szCs w:val="24"/>
        </w:rPr>
      </w:pPr>
    </w:p>
    <w:p w:rsidR="00B54503" w:rsidRPr="005E5582" w:rsidRDefault="00B54503" w:rsidP="005E5582">
      <w:pPr>
        <w:spacing w:after="0" w:line="240" w:lineRule="auto"/>
        <w:ind w:right="-1" w:firstLine="709"/>
        <w:jc w:val="both"/>
        <w:rPr>
          <w:rFonts w:ascii="Times New Roman" w:hAnsi="Times New Roman"/>
          <w:b/>
          <w:bCs/>
          <w:sz w:val="24"/>
          <w:szCs w:val="24"/>
        </w:rPr>
      </w:pPr>
      <w:r w:rsidRPr="00B54503">
        <w:rPr>
          <w:rFonts w:ascii="Times New Roman" w:hAnsi="Times New Roman"/>
          <w:b/>
          <w:bCs/>
          <w:sz w:val="24"/>
          <w:szCs w:val="24"/>
        </w:rPr>
        <w:t>1. Особенности современной военно-политической обстановки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«игроков»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неонацизмом. В этот раз против данного документа выступили 50(!) стран (США, большинство стран Евросоюза и др.); за – 120, воздержались – 10.</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Суверенное белорусское государство находится в эпицентре мировых событий и интересов глобальных игроков.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 – констатировал Глава государства А.Г.Лукашенко22 декабря 2022 г. на совещании об итогах проверки силового блока страны.</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b/>
          <w:bCs/>
          <w:sz w:val="24"/>
          <w:szCs w:val="24"/>
        </w:rPr>
        <w:t>1.</w:t>
      </w:r>
      <w:r w:rsidRPr="00B54503">
        <w:rPr>
          <w:rFonts w:ascii="Times New Roman" w:hAnsi="Times New Roman"/>
          <w:sz w:val="24"/>
          <w:szCs w:val="24"/>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w:t>
      </w:r>
      <w:r w:rsidRPr="00B54503">
        <w:rPr>
          <w:rFonts w:ascii="Times New Roman" w:hAnsi="Times New Roman"/>
          <w:sz w:val="24"/>
          <w:szCs w:val="24"/>
        </w:rPr>
        <w:lastRenderedPageBreak/>
        <w:t>оснащенных современным ударным вооружением, а также около 35 тыс. в рамках проводимых операций в Восточной Европе, из которых более22 тыс. сконцентрировано в Польше и странах Балтии.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b/>
          <w:bCs/>
          <w:sz w:val="24"/>
          <w:szCs w:val="24"/>
        </w:rPr>
        <w:t>2.</w:t>
      </w:r>
      <w:r w:rsidRPr="00B54503">
        <w:rPr>
          <w:rFonts w:ascii="Times New Roman" w:hAnsi="Times New Roman"/>
          <w:sz w:val="24"/>
          <w:szCs w:val="24"/>
        </w:rPr>
        <w:t xml:space="preserve"> Беспрецедентная поддержка США и коллективным Западом Украины. Непрекращающиеся финансовые вливания, «накачивание»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приграничных с нашей страной районах сохраняется вероятность возникновения вооруженных провокаций.</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Серьезные вызовы формируют действующий на Украине «черный рынок» оружия и его контрабанда в другие регионы, а также националистические воинские формирования (наподобие т.н. полков «Погоня» и «Калиновского»), готовые при поддержке стран Запада развязать кровавую бойню на белорусской земле.</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b/>
          <w:bCs/>
          <w:sz w:val="24"/>
          <w:szCs w:val="24"/>
        </w:rPr>
        <w:t>3.</w:t>
      </w:r>
      <w:r w:rsidRPr="00B54503">
        <w:rPr>
          <w:rFonts w:ascii="Times New Roman" w:hAnsi="Times New Roman"/>
          <w:sz w:val="24"/>
          <w:szCs w:val="24"/>
        </w:rPr>
        <w:t xml:space="preserve"> Наращивание антибелорусской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b/>
          <w:bCs/>
          <w:sz w:val="24"/>
          <w:szCs w:val="24"/>
        </w:rPr>
        <w:t>4.</w:t>
      </w:r>
      <w:r w:rsidRPr="00B54503">
        <w:rPr>
          <w:rFonts w:ascii="Times New Roman" w:hAnsi="Times New Roman"/>
          <w:sz w:val="24"/>
          <w:szCs w:val="24"/>
        </w:rPr>
        <w:t xml:space="preserve"> Попытки реализации силового сценария смены власти в Беларуси под общим названием «план Перамога». Западные стратеги рассчитывают развязать в Беларуси гражданскую войну руками «беглой»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 – подчеркнул белорусский лидер 4 октября 2022 г. на совещании по вопросам военной безопасности.</w:t>
      </w:r>
    </w:p>
    <w:p w:rsidR="00B54503" w:rsidRPr="00B54503" w:rsidRDefault="00B54503" w:rsidP="00B54503">
      <w:pPr>
        <w:spacing w:after="0" w:line="240" w:lineRule="auto"/>
        <w:ind w:right="-1" w:firstLine="709"/>
        <w:jc w:val="both"/>
        <w:rPr>
          <w:rFonts w:ascii="Times New Roman" w:hAnsi="Times New Roman"/>
          <w:sz w:val="24"/>
          <w:szCs w:val="24"/>
        </w:rPr>
      </w:pPr>
    </w:p>
    <w:p w:rsidR="00B54503" w:rsidRPr="005E5582" w:rsidRDefault="00B54503" w:rsidP="005E5582">
      <w:pPr>
        <w:spacing w:after="0" w:line="240" w:lineRule="auto"/>
        <w:ind w:right="-1" w:firstLine="709"/>
        <w:jc w:val="both"/>
        <w:rPr>
          <w:rFonts w:ascii="Times New Roman" w:hAnsi="Times New Roman"/>
          <w:b/>
          <w:bCs/>
          <w:sz w:val="24"/>
          <w:szCs w:val="24"/>
        </w:rPr>
      </w:pPr>
      <w:r w:rsidRPr="00B54503">
        <w:rPr>
          <w:rFonts w:ascii="Times New Roman" w:hAnsi="Times New Roman"/>
          <w:b/>
          <w:bCs/>
          <w:sz w:val="24"/>
          <w:szCs w:val="24"/>
        </w:rPr>
        <w:t>2. Военная безопасность – важнейшая составляющая национальной безопасности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b/>
          <w:bCs/>
          <w:i/>
          <w:iCs/>
          <w:sz w:val="24"/>
          <w:szCs w:val="24"/>
        </w:rPr>
        <w:t>Национальная безопасность</w:t>
      </w:r>
      <w:r w:rsidRPr="00B54503">
        <w:rPr>
          <w:rFonts w:ascii="Times New Roman" w:hAnsi="Times New Roman"/>
          <w:i/>
          <w:iCs/>
          <w:sz w:val="24"/>
          <w:szCs w:val="24"/>
        </w:rPr>
        <w:t xml:space="preserve"> – состояние защищенности национальных интересов Республики Беларусь от внутренних и внешних угроз.</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b/>
          <w:bCs/>
          <w:i/>
          <w:iCs/>
          <w:sz w:val="24"/>
          <w:szCs w:val="24"/>
        </w:rPr>
        <w:t>Военная безопасность</w:t>
      </w:r>
      <w:r w:rsidRPr="00B54503">
        <w:rPr>
          <w:rFonts w:ascii="Times New Roman" w:hAnsi="Times New Roman"/>
          <w:i/>
          <w:iCs/>
          <w:sz w:val="24"/>
          <w:szCs w:val="24"/>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 первоначальные попытки реформирования округа в Вооруженные Силы в основном были сведены к механическому сокращению группировки войск.</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lastRenderedPageBreak/>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Министерство обороны Республики Беларусь 1 ноября 1994 г. было переведено на новый штат. Советом Безопасности Республики Беларусь27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Республики Беларусь внутренними и внешними источниками угроз национальной безопасности.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B54503" w:rsidRPr="00B54503" w:rsidRDefault="00B54503" w:rsidP="00B54503">
      <w:pPr>
        <w:spacing w:after="0" w:line="240" w:lineRule="auto"/>
        <w:ind w:right="-1" w:firstLine="709"/>
        <w:jc w:val="both"/>
        <w:rPr>
          <w:rFonts w:ascii="Times New Roman" w:hAnsi="Times New Roman"/>
          <w:b/>
          <w:bCs/>
          <w:sz w:val="24"/>
          <w:szCs w:val="24"/>
        </w:rPr>
      </w:pPr>
      <w:r w:rsidRPr="00B54503">
        <w:rPr>
          <w:rFonts w:ascii="Times New Roman" w:hAnsi="Times New Roman"/>
          <w:b/>
          <w:bCs/>
          <w:sz w:val="24"/>
          <w:szCs w:val="24"/>
        </w:rPr>
        <w:t>Итоги строительства белорусской армии: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оптимизация боевого и численного состава Вооруженных Сил с учетом уточнения задач по предназначению;</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избирательное перевооружение на новые комплексы и системы вооружения и военной техники;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В настоящее время нормативную правовую основу обеспечения военной безопасности в Республике Беларусь </w:t>
      </w:r>
      <w:r w:rsidRPr="00B54503">
        <w:rPr>
          <w:rFonts w:ascii="Times New Roman" w:hAnsi="Times New Roman"/>
          <w:b/>
          <w:bCs/>
          <w:sz w:val="24"/>
          <w:szCs w:val="24"/>
        </w:rPr>
        <w:t>составляют</w:t>
      </w:r>
      <w:r w:rsidRPr="00B54503">
        <w:rPr>
          <w:rFonts w:ascii="Times New Roman" w:hAnsi="Times New Roman"/>
          <w:sz w:val="24"/>
          <w:szCs w:val="24"/>
        </w:rPr>
        <w:t>:</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Конституция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Военная доктрина Республики Беларусь и Военная доктрина Союзного государства;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законы Республики Беларусь в области обороны («Об обороне», «О Вооруженных Силах Республики Беларусь» и др.);</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Концепция строительства и развития Вооруженных Сил Республики Беларусь до 2030 года;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План строительства и развития Вооруженных Сил Республики Беларусь на 2021–2025 годы;</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международные договоры в сфере обеспечения военной безопасности.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w:t>
      </w:r>
      <w:r w:rsidRPr="00B54503">
        <w:rPr>
          <w:rFonts w:ascii="Times New Roman" w:hAnsi="Times New Roman"/>
          <w:sz w:val="24"/>
          <w:szCs w:val="24"/>
        </w:rPr>
        <w:lastRenderedPageBreak/>
        <w:t>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2021 году – начале 2023 гг. были предприняты следующие меры по обеспечению военной безопасности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совершенствование законодательства Республики Беларусь по вопросам защиты суверенитета и конституционного строя;</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уточнение основных направлений и приоритетов военного строительства и развития Вооруженных Сил на ближайшую перспективу;</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поддержание требуемого уровня боевой и мобилизационной готовности Вооруженных Сил;</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проведение мероприятий по усилению охраны и защиты Государственной границы Республики Беларусь, в том числе с Украиной.</w:t>
      </w:r>
    </w:p>
    <w:p w:rsidR="00B54503" w:rsidRPr="00B54503" w:rsidRDefault="00B54503" w:rsidP="00B54503">
      <w:pPr>
        <w:spacing w:after="0" w:line="240" w:lineRule="auto"/>
        <w:ind w:right="-1" w:firstLine="709"/>
        <w:jc w:val="both"/>
        <w:rPr>
          <w:rFonts w:ascii="Times New Roman" w:hAnsi="Times New Roman"/>
          <w:sz w:val="24"/>
          <w:szCs w:val="24"/>
        </w:rPr>
      </w:pPr>
    </w:p>
    <w:p w:rsidR="00B54503" w:rsidRPr="005E5582" w:rsidRDefault="00B54503" w:rsidP="005E5582">
      <w:pPr>
        <w:spacing w:after="0" w:line="240" w:lineRule="auto"/>
        <w:ind w:right="-1" w:firstLine="709"/>
        <w:jc w:val="both"/>
        <w:rPr>
          <w:rFonts w:ascii="Times New Roman" w:hAnsi="Times New Roman"/>
          <w:b/>
          <w:bCs/>
          <w:sz w:val="24"/>
          <w:szCs w:val="24"/>
        </w:rPr>
      </w:pPr>
      <w:r w:rsidRPr="00B54503">
        <w:rPr>
          <w:rFonts w:ascii="Times New Roman" w:hAnsi="Times New Roman"/>
          <w:b/>
          <w:bCs/>
          <w:sz w:val="24"/>
          <w:szCs w:val="24"/>
        </w:rPr>
        <w:t>3. Вооруженные Силы Республики Беларуси на современном этапе</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«сложную геополитическую обстановку». В Грузии к обязательному призыву вернулись в 2017 году.</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w:t>
      </w:r>
      <w:r w:rsidRPr="00B54503">
        <w:rPr>
          <w:rFonts w:ascii="Times New Roman" w:hAnsi="Times New Roman"/>
          <w:sz w:val="24"/>
          <w:szCs w:val="24"/>
        </w:rPr>
        <w:lastRenderedPageBreak/>
        <w:t xml:space="preserve">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«Точка-У», реактивные системы залпового огня: «Полонез», «Смерч», «Ураган», «Град», самоходные артиллерийские установки: 2С1 «Гвоздика», 2С3М «Акация», 2С5 «Гиацинт», 2С19 «Мста», буксируемые артиллерийские орудия, противотанковые ракетные комплексы и минометы, зенитные установки ЗУ-23-2, переносные зенитные ракетные комплексы«Оса-АКМ», «Игла», зенитные ракетные комплексы «Стрела-10», зенитный пушечно-ракетный комплекс «Тунгуска» и другие.</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 состав ВВС и войск ПВО входят: авиация, зенитные ракетные войска (далее – ЗРВ); радиотехнические войска; специальные войска и службы.</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модификаций, транспортные самолеты Ан-26 и Ил-76.</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«Бук», «Тор-М2» и «Оса-АКМ».</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Радиотехнические войска имеют на вооружении радиолокационные станции отечественного производства «Противник», «Сопка», «Восток», «Роса», необходимые, в том числе, для обнаружения низколетящих целей.</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Подготовка военных кадров осуществляется военными учебными заведениями.</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 xml:space="preserve">Обучение офицеров с высшим военным специальным образованием для замещения первичных офицерских должностей (с присвоением звания «лейтенант»)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lastRenderedPageBreak/>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Одной из форм работы с учащейся молодежью стала деятельность военно-патриотических клубов на базе воинских частей.</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Кроме того, в учреждениях общего образования функционирует755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охватом3579 обучающихся.</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«Орленок» на базе 120-й гвардейской отдельной механизированной бригады.</w:t>
      </w:r>
    </w:p>
    <w:p w:rsidR="00B54503" w:rsidRPr="00B54503" w:rsidRDefault="00B54503" w:rsidP="00B54503">
      <w:pPr>
        <w:spacing w:after="0" w:line="240" w:lineRule="auto"/>
        <w:ind w:right="-1" w:firstLine="709"/>
        <w:jc w:val="both"/>
        <w:rPr>
          <w:rFonts w:ascii="Times New Roman" w:hAnsi="Times New Roman"/>
          <w:sz w:val="24"/>
          <w:szCs w:val="24"/>
        </w:rPr>
      </w:pPr>
    </w:p>
    <w:p w:rsidR="00B54503" w:rsidRPr="005E5582" w:rsidRDefault="00B54503" w:rsidP="005E5582">
      <w:pPr>
        <w:spacing w:after="0" w:line="240" w:lineRule="auto"/>
        <w:ind w:right="-1" w:firstLine="709"/>
        <w:jc w:val="both"/>
        <w:rPr>
          <w:rFonts w:ascii="Times New Roman" w:hAnsi="Times New Roman"/>
          <w:b/>
          <w:bCs/>
          <w:sz w:val="24"/>
          <w:szCs w:val="24"/>
        </w:rPr>
      </w:pPr>
      <w:r w:rsidRPr="00B54503">
        <w:rPr>
          <w:rFonts w:ascii="Times New Roman" w:hAnsi="Times New Roman"/>
          <w:b/>
          <w:bCs/>
          <w:sz w:val="24"/>
          <w:szCs w:val="24"/>
        </w:rPr>
        <w:t>4. Оборонно-промышленный комплекс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 – подчеркнул Президент Республики Беларусь А.Г.Лукашенко на состоявшемся 10 мая 2022 г. совещании по государственному оборонному заказу на 2022 год.</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 xml:space="preserve">В систему Государственного военно-промышленного комитета Республики Беларусь входят 46% организаций, имеющих научный статус.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Широко известными отечественными брендами являются автоматизированные средства управления войсками и оружием холдинга «АГАТ», оптика «Пеленга» и БелОМО,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B54503" w:rsidRPr="00B54503" w:rsidRDefault="00B54503" w:rsidP="00B54503">
      <w:pPr>
        <w:spacing w:after="0" w:line="240" w:lineRule="auto"/>
        <w:ind w:right="-1" w:firstLine="709"/>
        <w:jc w:val="both"/>
        <w:rPr>
          <w:rFonts w:ascii="Times New Roman" w:hAnsi="Times New Roman"/>
          <w:sz w:val="24"/>
          <w:szCs w:val="24"/>
        </w:rPr>
      </w:pPr>
    </w:p>
    <w:p w:rsidR="00B54503" w:rsidRPr="005E5582" w:rsidRDefault="00B54503" w:rsidP="005E5582">
      <w:pPr>
        <w:spacing w:after="0" w:line="240" w:lineRule="auto"/>
        <w:ind w:right="-1" w:firstLine="709"/>
        <w:jc w:val="both"/>
        <w:rPr>
          <w:rFonts w:ascii="Times New Roman" w:hAnsi="Times New Roman"/>
          <w:b/>
          <w:bCs/>
          <w:sz w:val="24"/>
          <w:szCs w:val="24"/>
        </w:rPr>
      </w:pPr>
      <w:r w:rsidRPr="00B54503">
        <w:rPr>
          <w:rFonts w:ascii="Times New Roman" w:hAnsi="Times New Roman"/>
          <w:b/>
          <w:bCs/>
          <w:sz w:val="24"/>
          <w:szCs w:val="24"/>
        </w:rPr>
        <w:t>5. Международное военное сотрудничество Республики Беларусь</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Приоритетные направления международного военного сотрудничества: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обеспечение поддержания стратегического уровня международного военного сотрудничества с Российской Федерацией;</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lastRenderedPageBreak/>
        <w:t>поддержание максимально возможного уровня военного сотрудничества с Китайской Народной Республикой;</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расширение сотрудничества со странами Юго-Восточной Азии, Ближнего Востока, Африки;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расширение участия в деятельности по поддержанию международного мира и безопасности, в том числе в рамках ОДКБ;</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стабилизация отношений со странами коллективного Запада с учетом национальных интересов.</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На территории Беларуси поэтапно развертывается региональная группировка войск двух стран.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В числе последних масштабных мероприятий выделяются совместное оперативное учение «Союзная решимость – 2022»   (01–20.02.2022),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Динамично развивается военно-техническое сотрудничество оборонных ведомств двух стран.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«Искандер». Проведена работа по обучению белорусских специалистов эксплуатации данных комплексов (систем) вооружения.</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Ведется работа по созданию трех учебно-боевых центров совместной подготовки вооруженных сил Республики Беларусь и Российской Федерации.</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 xml:space="preserve">В течение прошлого года проведен ряд мероприятий с участием белорусских военнослужащих: командно-штабное учение «Взаимодействие – 2022» с Коллективными силами оперативного реагирования ОДКБ; специальное учение «Поиск – 2022» с силами и средствами разведки; учение «Эшелон – 2022» с подразделениями материально-технического обеспечения войск (Коллективных сил) ОДКБ.  </w:t>
      </w:r>
    </w:p>
    <w:p w:rsidR="00B54503" w:rsidRPr="00B54503" w:rsidRDefault="00B54503" w:rsidP="00B54503">
      <w:pPr>
        <w:spacing w:after="0" w:line="240" w:lineRule="auto"/>
        <w:ind w:right="-1" w:firstLine="709"/>
        <w:jc w:val="both"/>
        <w:rPr>
          <w:rFonts w:ascii="Times New Roman" w:hAnsi="Times New Roman"/>
          <w:sz w:val="24"/>
          <w:szCs w:val="24"/>
        </w:rPr>
      </w:pPr>
      <w:r w:rsidRPr="00B54503">
        <w:rPr>
          <w:rFonts w:ascii="Times New Roman" w:hAnsi="Times New Roman"/>
          <w:sz w:val="24"/>
          <w:szCs w:val="24"/>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(АрМИ).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B54503" w:rsidRPr="00B54503" w:rsidRDefault="00B54503" w:rsidP="00B54503">
      <w:pPr>
        <w:spacing w:after="0" w:line="240" w:lineRule="auto"/>
        <w:ind w:right="-1" w:firstLine="709"/>
        <w:jc w:val="both"/>
        <w:rPr>
          <w:rFonts w:ascii="Times New Roman" w:hAnsi="Times New Roman"/>
          <w:i/>
          <w:iCs/>
          <w:sz w:val="24"/>
          <w:szCs w:val="24"/>
        </w:rPr>
      </w:pPr>
      <w:r w:rsidRPr="00B54503">
        <w:rPr>
          <w:rFonts w:ascii="Times New Roman" w:hAnsi="Times New Roman"/>
          <w:i/>
          <w:iCs/>
          <w:sz w:val="24"/>
          <w:szCs w:val="24"/>
        </w:rPr>
        <w:t>Справочно:</w:t>
      </w:r>
    </w:p>
    <w:p w:rsidR="00B54503" w:rsidRPr="00B54503" w:rsidRDefault="00B54503" w:rsidP="00B54503">
      <w:pPr>
        <w:spacing w:after="0" w:line="240" w:lineRule="auto"/>
        <w:ind w:right="-1" w:firstLine="709"/>
        <w:jc w:val="both"/>
        <w:rPr>
          <w:sz w:val="24"/>
          <w:szCs w:val="24"/>
        </w:rPr>
      </w:pPr>
      <w:r w:rsidRPr="00B54503">
        <w:rPr>
          <w:rFonts w:ascii="Times New Roman" w:hAnsi="Times New Roman"/>
          <w:i/>
          <w:iCs/>
          <w:sz w:val="24"/>
          <w:szCs w:val="24"/>
        </w:rPr>
        <w:t>VIII «Армейские международные игры – 2022» прошли на трех континентах в 12 государствах. Белорусские военнослужащие приняли участие в 27 конкурсах из 34 заявленных. В копилке наших команд 25 медалей (4 золотые, 10 серебряных и 11 бронзовых) – лучшее выступление белорусской команды за всю историю АрМИ.</w:t>
      </w:r>
      <w:r w:rsidRPr="00B54503">
        <w:rPr>
          <w:sz w:val="24"/>
          <w:szCs w:val="24"/>
        </w:rPr>
        <w:t xml:space="preserve"> </w:t>
      </w:r>
    </w:p>
    <w:p w:rsidR="00B54503" w:rsidRPr="00B54503" w:rsidRDefault="00B54503" w:rsidP="00B54503">
      <w:pPr>
        <w:spacing w:after="0" w:line="240" w:lineRule="auto"/>
        <w:ind w:right="-1" w:firstLine="709"/>
        <w:jc w:val="both"/>
        <w:rPr>
          <w:sz w:val="24"/>
          <w:szCs w:val="24"/>
        </w:rPr>
      </w:pP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6. Вклад Республики Беларусь в укрепление архитектуры безопасности и стабильности в мире</w:t>
      </w:r>
    </w:p>
    <w:p w:rsidR="00B54503" w:rsidRPr="00B54503" w:rsidRDefault="00B54503" w:rsidP="00B54503">
      <w:pPr>
        <w:spacing w:after="0" w:line="240" w:lineRule="auto"/>
        <w:ind w:right="-1" w:firstLine="709"/>
        <w:jc w:val="both"/>
        <w:rPr>
          <w:rFonts w:ascii="Times New Roman" w:hAnsi="Times New Roman"/>
          <w:iCs/>
          <w:sz w:val="24"/>
          <w:szCs w:val="24"/>
        </w:rPr>
      </w:pP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lastRenderedPageBreak/>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«Тополь»).</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По этому поводу Президент А.Г.Лукашенко, выступая 13 октября 2022 г. в г.Астане на шестом саммите Совещания по взаимодействию и мерам доверия в Азии отметил: «И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г.Будапеште на саммите ОБСЕ руководителями США, Великобритании и России), бесконечные попытки дестабилизировать ситуацию в спокойной трудолюбивой Беларуси».</w:t>
      </w:r>
      <w:r w:rsidRPr="00B54503">
        <w:rPr>
          <w:rFonts w:ascii="Times New Roman" w:hAnsi="Times New Roman"/>
          <w:iCs/>
          <w:sz w:val="24"/>
          <w:szCs w:val="24"/>
        </w:rPr>
        <w:cr/>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 частности, было предложено сформировать «пояс цифрового добрососедства» путем заключения международных соглашений об обеспечении информационной безопасности.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неразмещении ракет средней и меньшей дальности в Европе.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«в духе Сан-Франциско» (Сан-Францисская конференция 1945 года разработала Устав ООН), с идеей которого Президент нашей страны выступил в 2022 году.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Новое звучание приобретает еще одна широко известная белорусская инициатива об «интеграции интеграций». Развитие взаимодействия по линии ЕАЭС – ШОС – китайский проект «Пояс и путь»,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Однако, к сожалению, в большинстве своем эти и другие белорусские мирные инициативы услышаны не были.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B54503" w:rsidRPr="00B54503" w:rsidRDefault="00B54503" w:rsidP="00B54503">
      <w:pPr>
        <w:spacing w:after="0" w:line="240" w:lineRule="auto"/>
        <w:ind w:right="-1" w:firstLine="709"/>
        <w:jc w:val="both"/>
        <w:rPr>
          <w:rFonts w:ascii="Times New Roman" w:hAnsi="Times New Roman"/>
          <w:iCs/>
          <w:sz w:val="24"/>
          <w:szCs w:val="24"/>
        </w:rPr>
      </w:pP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w:t>
      </w:r>
      <w:r w:rsidRPr="00B54503">
        <w:rPr>
          <w:rFonts w:ascii="Times New Roman" w:hAnsi="Times New Roman"/>
          <w:iCs/>
          <w:sz w:val="24"/>
          <w:szCs w:val="24"/>
        </w:rPr>
        <w:lastRenderedPageBreak/>
        <w:t>народа. Не случайным стало и объявление в Беларуси2023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B54503" w:rsidRPr="00B54503" w:rsidRDefault="00B54503" w:rsidP="00B54503">
      <w:pPr>
        <w:spacing w:after="0" w:line="240" w:lineRule="auto"/>
        <w:ind w:right="-1" w:firstLine="709"/>
        <w:jc w:val="both"/>
        <w:rPr>
          <w:sz w:val="24"/>
          <w:szCs w:val="24"/>
        </w:rPr>
      </w:pPr>
      <w:r w:rsidRPr="00B54503">
        <w:rPr>
          <w:rFonts w:ascii="Times New Roman" w:hAnsi="Times New Roman"/>
          <w:iCs/>
          <w:sz w:val="24"/>
          <w:szCs w:val="24"/>
        </w:rPr>
        <w:t>Президент А.Г.Лукашенко в Новогоднем обращении к белорусскому народу особо отметил: «Всё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Pr="00B54503">
        <w:rPr>
          <w:sz w:val="24"/>
          <w:szCs w:val="24"/>
        </w:rPr>
        <w:t xml:space="preserve"> </w:t>
      </w:r>
    </w:p>
    <w:p w:rsidR="00B54503" w:rsidRDefault="00B54503" w:rsidP="00B54503">
      <w:pPr>
        <w:spacing w:after="0" w:line="240" w:lineRule="auto"/>
        <w:ind w:right="-1" w:firstLine="709"/>
        <w:jc w:val="center"/>
        <w:rPr>
          <w:b/>
          <w:sz w:val="24"/>
          <w:szCs w:val="24"/>
        </w:rPr>
      </w:pPr>
    </w:p>
    <w:p w:rsidR="005E5582" w:rsidRPr="00B54503" w:rsidRDefault="005E5582" w:rsidP="00B54503">
      <w:pPr>
        <w:spacing w:after="0" w:line="240" w:lineRule="auto"/>
        <w:ind w:right="-1" w:firstLine="709"/>
        <w:jc w:val="center"/>
        <w:rPr>
          <w:b/>
          <w:sz w:val="24"/>
          <w:szCs w:val="24"/>
        </w:rPr>
      </w:pPr>
    </w:p>
    <w:p w:rsidR="003C70B7" w:rsidRDefault="00B54503" w:rsidP="003C70B7">
      <w:pPr>
        <w:pStyle w:val="a3"/>
        <w:numPr>
          <w:ilvl w:val="0"/>
          <w:numId w:val="2"/>
        </w:numPr>
        <w:spacing w:after="0" w:line="240" w:lineRule="auto"/>
        <w:ind w:right="-1"/>
        <w:jc w:val="center"/>
        <w:rPr>
          <w:rFonts w:ascii="Times New Roman" w:hAnsi="Times New Roman"/>
          <w:b/>
          <w:iCs/>
          <w:sz w:val="24"/>
          <w:szCs w:val="24"/>
        </w:rPr>
      </w:pPr>
      <w:r w:rsidRPr="005E5582">
        <w:rPr>
          <w:rFonts w:ascii="Times New Roman" w:hAnsi="Times New Roman"/>
          <w:b/>
          <w:iCs/>
          <w:sz w:val="24"/>
          <w:szCs w:val="24"/>
        </w:rPr>
        <w:t xml:space="preserve">АНАЛИЗ ПРИЧИН ПРОИЗВОДСТВЕННОГО ТРАВМАТИЗМА </w:t>
      </w:r>
    </w:p>
    <w:p w:rsidR="00B54503" w:rsidRPr="003C70B7" w:rsidRDefault="00B54503" w:rsidP="003C70B7">
      <w:pPr>
        <w:pStyle w:val="a3"/>
        <w:spacing w:after="0" w:line="240" w:lineRule="auto"/>
        <w:ind w:right="-1"/>
        <w:jc w:val="center"/>
        <w:rPr>
          <w:rFonts w:ascii="Times New Roman" w:hAnsi="Times New Roman"/>
          <w:b/>
          <w:iCs/>
          <w:sz w:val="24"/>
          <w:szCs w:val="24"/>
        </w:rPr>
      </w:pPr>
      <w:r w:rsidRPr="003C70B7">
        <w:rPr>
          <w:rFonts w:ascii="Times New Roman" w:hAnsi="Times New Roman"/>
          <w:b/>
          <w:iCs/>
          <w:sz w:val="24"/>
          <w:szCs w:val="24"/>
        </w:rPr>
        <w:t>И МЕРОПРИЯТИЯ ПО ЕГО ПРЕДУПРЕЖДЕНИЮ</w:t>
      </w:r>
    </w:p>
    <w:p w:rsidR="00B54503" w:rsidRPr="00B54503" w:rsidRDefault="00B54503" w:rsidP="00B54503">
      <w:pPr>
        <w:spacing w:after="0" w:line="240" w:lineRule="auto"/>
        <w:ind w:right="-1" w:firstLine="709"/>
        <w:jc w:val="both"/>
        <w:rPr>
          <w:rFonts w:ascii="Times New Roman" w:hAnsi="Times New Roman"/>
          <w:iCs/>
          <w:sz w:val="24"/>
          <w:szCs w:val="24"/>
        </w:rPr>
      </w:pP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 с 83 до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 в результате падения потерпевшего (в том числе 17,4% – при передвижении, 5,0% – с высоты, 2% – в колодцы, ямы и т.п.); 7,3%  – в результате падения, обрушения конструкций зданий и сооружений, обвалов предметов, грунта и т.п.; 2,7 % – в результате воздействия экстремальных температур; 2,3% – в результате дорожно-транспортных происшествий; 2,3% – в результате нанесения травм другим лицом, и 20,2% – в результате иных видов происшествий.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 при выполнении шиномонтажных работ, 11 – в результате дорожно-транспортных происшествий, 4 – при проведении лесохозяйственных работ, 3 – при выполнении работ по деревообработке и в иных случаях.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 целях предупреждения производственного травматизма в 2023 году в Могилевской области приняты 3 программных документа.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Прежде всего это План мероприятий на 2023 год по реализации в Могилевской области положений Директивы Президента Республики Беларусь от 11 марта 2004 г.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8-ми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w:t>
      </w:r>
      <w:r w:rsidRPr="00B54503">
        <w:rPr>
          <w:rFonts w:ascii="Times New Roman" w:hAnsi="Times New Roman"/>
          <w:iCs/>
          <w:sz w:val="24"/>
          <w:szCs w:val="24"/>
        </w:rPr>
        <w:lastRenderedPageBreak/>
        <w:t>единого областного дня охраны труда, посвященного Всемирному дню охраны труда, информационное обеспечение и другие мероприятия.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Во-вторых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Советов депутатов и другие мероприятия);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Года 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осуществлять обучение, стажировку, инструктаж и проверку знаний работающих по вопросам охраны труда;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обеспечить на каждом рабочем месте условия труда, соответствующие требованиям по охране труда;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lastRenderedPageBreak/>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осуществлять контроль за соблюдением законодательства об охране труда работниками;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обеспечить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 тоже время каждый работник на своем рабочем месте обязан:</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использовать и правильно применять средства индивидуальной защиты и средства коллективной защиты;</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B54503" w:rsidRPr="00B54503" w:rsidRDefault="00B54503" w:rsidP="00B54503">
      <w:pPr>
        <w:spacing w:after="0" w:line="240" w:lineRule="auto"/>
        <w:ind w:right="-1" w:firstLine="709"/>
        <w:jc w:val="both"/>
        <w:rPr>
          <w:sz w:val="24"/>
          <w:szCs w:val="24"/>
        </w:rPr>
      </w:pPr>
      <w:r w:rsidRPr="00B54503">
        <w:rPr>
          <w:rFonts w:ascii="Times New Roman" w:hAnsi="Times New Roman"/>
          <w:iCs/>
          <w:sz w:val="24"/>
          <w:szCs w:val="24"/>
        </w:rPr>
        <w:t>исполнять другие обязанности, предусмотренные законодательством об охране труда.</w:t>
      </w:r>
      <w:r w:rsidRPr="00B54503">
        <w:rPr>
          <w:sz w:val="24"/>
          <w:szCs w:val="24"/>
        </w:rPr>
        <w:t xml:space="preserve"> </w:t>
      </w:r>
    </w:p>
    <w:p w:rsidR="00B54503" w:rsidRDefault="00B54503" w:rsidP="00B54503">
      <w:pPr>
        <w:spacing w:after="0" w:line="240" w:lineRule="auto"/>
        <w:ind w:right="-1" w:firstLine="709"/>
        <w:jc w:val="both"/>
        <w:rPr>
          <w:sz w:val="24"/>
          <w:szCs w:val="24"/>
        </w:rPr>
      </w:pPr>
    </w:p>
    <w:p w:rsidR="005E5582" w:rsidRPr="00B54503" w:rsidRDefault="005E5582" w:rsidP="00B54503">
      <w:pPr>
        <w:spacing w:after="0" w:line="240" w:lineRule="auto"/>
        <w:ind w:right="-1" w:firstLine="709"/>
        <w:jc w:val="both"/>
        <w:rPr>
          <w:sz w:val="24"/>
          <w:szCs w:val="24"/>
        </w:rPr>
      </w:pPr>
    </w:p>
    <w:p w:rsidR="00B54503" w:rsidRPr="00B54503" w:rsidRDefault="005E5582" w:rsidP="005E5582">
      <w:pPr>
        <w:spacing w:after="0" w:line="240" w:lineRule="auto"/>
        <w:ind w:right="-1" w:firstLine="709"/>
        <w:jc w:val="center"/>
        <w:rPr>
          <w:rFonts w:ascii="Times New Roman" w:hAnsi="Times New Roman"/>
          <w:b/>
          <w:iCs/>
          <w:sz w:val="24"/>
          <w:szCs w:val="24"/>
        </w:rPr>
      </w:pPr>
      <w:r>
        <w:rPr>
          <w:rFonts w:ascii="Times New Roman" w:hAnsi="Times New Roman"/>
          <w:b/>
          <w:iCs/>
          <w:sz w:val="24"/>
          <w:szCs w:val="24"/>
        </w:rPr>
        <w:t xml:space="preserve">3. </w:t>
      </w:r>
      <w:r w:rsidR="00B54503" w:rsidRPr="00B54503">
        <w:rPr>
          <w:rFonts w:ascii="Times New Roman" w:hAnsi="Times New Roman"/>
          <w:b/>
          <w:iCs/>
          <w:sz w:val="24"/>
          <w:szCs w:val="24"/>
        </w:rPr>
        <w:t xml:space="preserve">ОСНОВНЫЕ ПРИЧИНЫ ПОЖАРОВ. НЕОСТОРОЖНОЕ ОБРАЩЕНИЕ С ОГНЕМ. </w:t>
      </w:r>
      <w:r>
        <w:rPr>
          <w:rFonts w:ascii="Times New Roman" w:hAnsi="Times New Roman"/>
          <w:b/>
          <w:iCs/>
          <w:sz w:val="24"/>
          <w:szCs w:val="24"/>
        </w:rPr>
        <w:t xml:space="preserve">   </w:t>
      </w:r>
      <w:r w:rsidR="00B54503" w:rsidRPr="00B54503">
        <w:rPr>
          <w:rFonts w:ascii="Times New Roman" w:hAnsi="Times New Roman"/>
          <w:b/>
          <w:iCs/>
          <w:sz w:val="24"/>
          <w:szCs w:val="24"/>
        </w:rPr>
        <w:t>ПЕЧНАЯ БЕЗОПАСНОСТЬ. ОТРАВЛЕНИЕ УГАРНЫМ ГАЗОМ.  ЭЛЕКТРОБЕЗОПАСНОСТЬ. ЛЕД</w:t>
      </w:r>
    </w:p>
    <w:p w:rsidR="00B54503" w:rsidRPr="00B54503" w:rsidRDefault="00B54503" w:rsidP="00B54503">
      <w:pPr>
        <w:spacing w:after="0" w:line="240" w:lineRule="auto"/>
        <w:ind w:right="-1" w:firstLine="709"/>
        <w:jc w:val="both"/>
        <w:rPr>
          <w:rFonts w:ascii="Times New Roman" w:hAnsi="Times New Roman"/>
          <w:iCs/>
          <w:sz w:val="24"/>
          <w:szCs w:val="24"/>
        </w:rPr>
      </w:pP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 январе 2022 года в области произошло 77 пожаров (в</w:t>
      </w:r>
      <w:r w:rsidR="005E5582">
        <w:rPr>
          <w:rFonts w:ascii="Times New Roman" w:hAnsi="Times New Roman"/>
          <w:iCs/>
          <w:sz w:val="24"/>
          <w:szCs w:val="24"/>
        </w:rPr>
        <w:t xml:space="preserve"> январе</w:t>
      </w:r>
      <w:r w:rsidRPr="00B54503">
        <w:rPr>
          <w:rFonts w:ascii="Times New Roman" w:hAnsi="Times New Roman"/>
          <w:iCs/>
          <w:sz w:val="24"/>
          <w:szCs w:val="24"/>
        </w:rPr>
        <w:t xml:space="preserve"> 2022 г. – 76), погибло 11 человек (в январе 2022 г. – 12). Пострадало 9 человек (в январе 2022 г. – 9). В результате пожаров уничтожено 10 строений, 2 единицы техники.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Основные причины возникновения возгораний:</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неосторожное обращение с огнём – 15 пожаров (в январе 2022 г. – 22 пожара);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нарушение правил устройства и эксплуатации отопительного оборудования – 23 пожара (в январе 2022 г. – 23 пожара);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нарушение правил устройства и эксплуатации электрооборудования –   21 пожар (в январе 2022 г. – 23 пожара);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детская шалости с огнем –  1 пожар (в январе 2022 г. – 1 пожар);</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нарушение правил эксплуатации газовых устройств – 1 пожар (в январе 2022 г. – не было пожаров).</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В жилом фонде произошло 63 пожара (в январе 2022 г. – 66 пожаров).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В сельской местности произошло 33 пожара, погибло 7 человек.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I.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 20 января утром жертвой огня стал 64-летний одиноко проживающий житель д. Малая Зимница Славгородского района. Пылающий дом обнаружили соседи и позвонили в службу 101. Огонь практически дотла испепелил жилье: уничтожены  кровля, перекрытие и имущество в доме, повреждены стены.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lastRenderedPageBreak/>
        <w:t xml:space="preserve">Пример:20 января в  09-24 поступило сообщение о пожаре частного жилого дома в д. Дроковка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кв.пола и постельные принадлежности.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Пример:23  января днем в службу МЧС поступило сообщение о пожаре частного жилого дома по ул. Звезда в Бобруйске. На улице подразделения МЧС встречал 43-летний хозяин, который  пояснил, что в горящем доме осталась его 41-летняя сожительница. Реанимационные действия оказались бессильны – женщина погибла. В результате пожара повреждено имущество в доме, закопчены стены и потолок. Хозяин домовладения с ожогами госпитализирован.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 Второй шанс на жизнь подарили соседи 59-летнему жителю Быхова, проживающему в одной из квартир трехэтажного жилого дома по ул. Гришина. По-видимому, мужчина, перед сном покурив в ванной комнате, выбросил непогашенный окурок в мусорное ведро и лег спать. Запах дыма почувствовал сосед – Александр Бабаков. Зная, что в огненной ловушке находится хозяин – он поспешил на помощь и, вытянув его из задымленной квартиры,  оказал первую медицинскую помощь. Спасенный госпитализирован.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Пример: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II.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Пример:72-летняя жительница д. Рубеж Круглянского района уехала зимовать к внучке, в ее отсутствие дом периодически протапливал 48-летний житель Круглого. 12 января  утром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 Полностью испепеленное жилье – таковы последствия «печного» пожара дачного дома, находящегося в содовом товариществе «Сосновый» около д. Старинки Бобруйского района. Пожар произошел 28 января днем. 56-летний супруг хозяйки, находящийся на даче, не пострадал.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Пример: Трещина в дымоходе 26 января утром спровоцировала возникновение пожара в одной из квартир четырехквартирного двухэтажного жилого дома по ул. Жунина в Круглом. В результате пожара частично повреждена обрешетка и утеплитель перекрытия.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 эксплуатации печей не допускается: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осуществлять топку при наличии обрушения кладки свода топливника;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ее перекаливание;</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осуществлять топку углем, коксом и газом печи, не предназначенной для этих видов топлива;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оставлять без присмотра топящуюся печь или поручать топку детям;</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1,25 м – от топочного отверстия);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применять для розжига легковоспламеняющиеся и горючие жидкости (бензин, керосин, дизельное топливо и т.д.);</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 30 января вечером в учреждение здравоохранения с термическими ожогами лица и шеи был госпитализирован 36-летний житель п. Туголица Бобруйского района. Ожоги он получил в своем гараже, используя для розжига печи-буржуйки  бензин.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Вспышки паров бензина, ацетона, бензола, толуола и других легковоспламеняющихся жидкостей (далее – ЛВЖ) периодически становятся причиной травмирования. Поэтому не допускается использование </w:t>
      </w:r>
      <w:r w:rsidRPr="00B54503">
        <w:rPr>
          <w:rFonts w:ascii="Times New Roman" w:hAnsi="Times New Roman"/>
          <w:iCs/>
          <w:sz w:val="24"/>
          <w:szCs w:val="24"/>
        </w:rPr>
        <w:lastRenderedPageBreak/>
        <w:t xml:space="preserve">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III. Формула СО известна всем, кто учится или учился в школе. Вот только не все помнят, какая опасность скрыта за этими латинскими буквами.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человек умирает за несколько секунд.</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Пример:1 февраля в частном жилом доме аг. Заводская Слобода Могилевского района смертельное отравление угарным газом получил 18-летний молодой человек, его товарищ 1988 года рождения госпитализирован. К трагедии привело  отравление угарным газом в результате преждевременного закрытия задвижки дымохода печи.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 Преждевременное закрытие задвижки дымохода печи в дачном домовладении в д. Бирча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Симптомы отравления распознать вначале трудно, поэтому многие и не догадываются, что причиной недомогания является угарный газ.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Причинами отравления угарным газом являются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неисправная работа печи и дымохода (трещины в конструкции печи, забитый дымоход);</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нахождение человека в очаге пожара;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использование для обогрева помещений газовых бытовых приборов, а также отсутствие правильно циркулирующей вытяжки газовых колонок;</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техническое обслуживание автомобиля в гараже или помещении с плохой вентиляцией;</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сон в автомобиле с включенным двигателем.</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Сейчас в разгаре отопительный период. Важно не только правильно и безопасно протапливать печь: не перекаляя, не оставляя без присмотра, не топя дровами,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IV.Сегодня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Пример: 12 января в 12-23 в  службу МЧС поступило сообщение о пожаре в трехкомнатной квартире девятиэтажного жилого дома по пр. Шмидта в Могилеве. По телефону 101 позвонила встревоженная хозяйка  и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w:t>
      </w:r>
      <w:r w:rsidRPr="00B54503">
        <w:rPr>
          <w:rFonts w:ascii="Times New Roman" w:hAnsi="Times New Roman"/>
          <w:iCs/>
          <w:sz w:val="24"/>
          <w:szCs w:val="24"/>
        </w:rPr>
        <w:lastRenderedPageBreak/>
        <w:t xml:space="preserve">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Одна из главных «заповедей» безопасности – не оставляйте включенные электроприборы без присмотра! </w:t>
      </w:r>
    </w:p>
    <w:p w:rsidR="00B54503" w:rsidRPr="00B54503" w:rsidRDefault="00B54503" w:rsidP="005E5582">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V.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Пример: 17 января местные жители сообщили в службу МЧС, что в реке Лахва около деревни Сорочино Быховского района мужчина провалился под лед и просит помощи.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Спасатели оперативно прибыли к месту вызова:  в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B54503" w:rsidRPr="00B54503" w:rsidRDefault="00B54503" w:rsidP="00B54503">
      <w:pPr>
        <w:spacing w:after="0" w:line="240" w:lineRule="auto"/>
        <w:ind w:right="-1" w:firstLine="709"/>
        <w:jc w:val="both"/>
        <w:rPr>
          <w:rFonts w:ascii="Times New Roman" w:hAnsi="Times New Roman"/>
          <w:iCs/>
          <w:sz w:val="24"/>
          <w:szCs w:val="24"/>
        </w:rPr>
      </w:pPr>
    </w:p>
    <w:p w:rsidR="005E5582" w:rsidRDefault="005E5582" w:rsidP="00B54503">
      <w:pPr>
        <w:spacing w:after="0" w:line="240" w:lineRule="auto"/>
        <w:ind w:right="-1" w:firstLine="709"/>
        <w:jc w:val="center"/>
        <w:rPr>
          <w:rFonts w:ascii="Times New Roman" w:hAnsi="Times New Roman"/>
          <w:b/>
          <w:iCs/>
          <w:sz w:val="24"/>
          <w:szCs w:val="24"/>
        </w:rPr>
      </w:pPr>
    </w:p>
    <w:p w:rsidR="00B54503" w:rsidRPr="00B54503" w:rsidRDefault="005E5582" w:rsidP="00B54503">
      <w:pPr>
        <w:spacing w:after="0" w:line="240" w:lineRule="auto"/>
        <w:ind w:right="-1" w:firstLine="709"/>
        <w:jc w:val="center"/>
        <w:rPr>
          <w:rFonts w:ascii="Times New Roman" w:hAnsi="Times New Roman"/>
          <w:b/>
          <w:iCs/>
          <w:sz w:val="24"/>
          <w:szCs w:val="24"/>
        </w:rPr>
      </w:pPr>
      <w:r>
        <w:rPr>
          <w:rFonts w:ascii="Times New Roman" w:hAnsi="Times New Roman"/>
          <w:b/>
          <w:iCs/>
          <w:sz w:val="24"/>
          <w:szCs w:val="24"/>
        </w:rPr>
        <w:t xml:space="preserve">4. </w:t>
      </w:r>
      <w:r w:rsidR="00B54503" w:rsidRPr="00B54503">
        <w:rPr>
          <w:rFonts w:ascii="Times New Roman" w:hAnsi="Times New Roman"/>
          <w:b/>
          <w:iCs/>
          <w:sz w:val="24"/>
          <w:szCs w:val="24"/>
        </w:rPr>
        <w:t>БЕЗОПАСНАЯ ЭКСПЛУАТАЦИЯ ГАЗОВЫХ ПРИБОРОВ В ЖИЛЫХ ПОМЕЩЕНИЯХ. ХРАНЕНИЕ ЛЕГКОВОСПЛАМЕНЯЮЩИХСЯ И ГОРЮЧИХ ЖИДКОСТЕЙ</w:t>
      </w:r>
    </w:p>
    <w:p w:rsidR="00B54503" w:rsidRPr="00B54503" w:rsidRDefault="00B54503" w:rsidP="005E5582">
      <w:pPr>
        <w:spacing w:after="0" w:line="240" w:lineRule="auto"/>
        <w:ind w:right="-1"/>
        <w:jc w:val="both"/>
        <w:rPr>
          <w:rFonts w:ascii="Times New Roman" w:hAnsi="Times New Roman"/>
          <w:iCs/>
          <w:sz w:val="24"/>
          <w:szCs w:val="24"/>
        </w:rPr>
      </w:pP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Трагедия, унесшая жизни шестерых человек, в том числе ребенка, произошла 17 декабря 2022 г. в Минске.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В 03-35 на номер «112» от очевидцев поступили сообщения о взрыве и загорании квартиры в пятиэтажном жилом доме по бульвару Шевченко.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Спустя 4 минуты спасатели прибыли к месту вызова: на втором этаже происходило горение открытым пламенем в двух квартирах на общей площади около 40 мкв., сильное задымление, люди из окон вышерасположенных квартир просили о помощи.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Спасателями с вышележащих этажей были спасены 12 человек, в том числе 3 ребенка. Медики госпитализировали троих человек с предварительным диагнозом: «отравление продуктами горения, термоингаляционная травма, ожоги».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Из смежных и вышерасположенных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На втором и четвертом этажах домав квартирах без признаков жизни было обнаружено 6 человек, среди них ребёнок 2011 г.р.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Помните!Утечка газа очень опасна. Смешиваясь с воздухом, газ превращается в опасную смесь, которая, взорвавшись, может разрушить даже многоэтажный дом.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Во избежание трагедий необходимо: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эксплуатировать только исправные газовые приборы;</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не допускать случаев утечки газа в помещении;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 ночь, или уходя из дома, обязательно перекрывать кран подачи газа;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не оставлять без присмотра готовящуюся на плите пищу;</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lastRenderedPageBreak/>
        <w:t xml:space="preserve">детям до 12 лет пользоваться газом запрещено!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соблюдать последовательность включения газовых приборов: сначала зажгите спичку, а затем откройте подачу газа;</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покиньте помещение и предупредите соседей о случившемся. Звоните по телефонам 104 или 112.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 В соответствии с  постановлением Совета Министров Республики Беларусь от 22 марта 2022 г. №157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об отказе проведения технического обслуживания вводных и внутренних газопроводов, газового оборудования;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об эксплуатации газового оборудования с истекшим сроком эксплуатации при отсутствии положительных результатов его диагностики;</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 самовольном подключении (отключении) газового оборудования и его перестановке с применением сварки, а также переподключении на присоединительный гибкий шланг, разборке этого оборудования и его ремонте;</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Особого внимания и осторожности требует хранение и обращение с легковоспламеняющимися и горючими жидкостями (далее – ЛВЖ и ГЖ).</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 xml:space="preserve">При выполнении работ, связанных с применением ЛВЖ и ГЖ,  горючих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Пролитые ЛВЖ и ГЖ должны быть немедленно убраны с помощью сорбирующих материалов или других пожаробезопасных средств и удалены из помещений.</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строгособлюдены  противопожарные требования. В частности, если там ветхая электропроводка, наличие канистры с бензином будет расценено как нарушение.</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B54503" w:rsidRPr="00B54503" w:rsidRDefault="00B54503" w:rsidP="00B54503">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Вниманию взрослых!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средство против тараканов, освежитель воздуха, парфюмерная продукция. Детям иногда приходит в голову озорная 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 не используйте ЛВЖ и ГЖ при разведении костров, приготовлении пищи на огне, топке печей.</w:t>
      </w:r>
    </w:p>
    <w:p w:rsidR="003D137C" w:rsidRDefault="00B54503" w:rsidP="005E5582">
      <w:pPr>
        <w:spacing w:after="0" w:line="240" w:lineRule="auto"/>
        <w:ind w:right="-1" w:firstLine="709"/>
        <w:jc w:val="both"/>
        <w:rPr>
          <w:rFonts w:ascii="Times New Roman" w:hAnsi="Times New Roman"/>
          <w:iCs/>
          <w:sz w:val="24"/>
          <w:szCs w:val="24"/>
        </w:rPr>
      </w:pPr>
      <w:r w:rsidRPr="00B54503">
        <w:rPr>
          <w:rFonts w:ascii="Times New Roman" w:hAnsi="Times New Roman"/>
          <w:iCs/>
          <w:sz w:val="24"/>
          <w:szCs w:val="24"/>
        </w:rPr>
        <w:t>Не повторяйте трагических ошибок, ведь возможности для их исправления может и не быть.</w:t>
      </w:r>
    </w:p>
    <w:p w:rsidR="003C70B7" w:rsidRPr="002E444C" w:rsidRDefault="003C70B7" w:rsidP="00F87272">
      <w:pPr>
        <w:pStyle w:val="a3"/>
        <w:numPr>
          <w:ilvl w:val="0"/>
          <w:numId w:val="3"/>
        </w:numPr>
        <w:spacing w:after="0" w:line="240" w:lineRule="auto"/>
        <w:ind w:right="-1"/>
        <w:jc w:val="center"/>
        <w:rPr>
          <w:rFonts w:ascii="Times New Roman" w:hAnsi="Times New Roman"/>
          <w:b/>
          <w:iCs/>
          <w:sz w:val="28"/>
          <w:szCs w:val="24"/>
        </w:rPr>
      </w:pPr>
      <w:r w:rsidRPr="002E444C">
        <w:rPr>
          <w:rFonts w:ascii="Times New Roman" w:hAnsi="Times New Roman"/>
          <w:b/>
          <w:iCs/>
          <w:sz w:val="28"/>
          <w:szCs w:val="24"/>
        </w:rPr>
        <w:lastRenderedPageBreak/>
        <w:t xml:space="preserve">Проведение областного комплексного профилактического мероприятия </w:t>
      </w:r>
    </w:p>
    <w:p w:rsidR="003C70B7" w:rsidRPr="002E444C" w:rsidRDefault="003C70B7" w:rsidP="003C70B7">
      <w:pPr>
        <w:spacing w:after="0" w:line="240" w:lineRule="auto"/>
        <w:ind w:right="-1" w:firstLine="709"/>
        <w:jc w:val="center"/>
        <w:rPr>
          <w:rFonts w:ascii="Times New Roman" w:hAnsi="Times New Roman"/>
          <w:b/>
          <w:iCs/>
          <w:sz w:val="28"/>
          <w:szCs w:val="24"/>
        </w:rPr>
      </w:pPr>
      <w:r w:rsidRPr="002E444C">
        <w:rPr>
          <w:rFonts w:ascii="Times New Roman" w:hAnsi="Times New Roman"/>
          <w:b/>
          <w:iCs/>
          <w:sz w:val="28"/>
          <w:szCs w:val="24"/>
        </w:rPr>
        <w:t>«Вместе МЫ сила»</w:t>
      </w:r>
    </w:p>
    <w:p w:rsidR="003C70B7" w:rsidRPr="003C70B7" w:rsidRDefault="003C70B7" w:rsidP="003C70B7">
      <w:pPr>
        <w:spacing w:after="0" w:line="240" w:lineRule="auto"/>
        <w:ind w:right="-1" w:firstLine="709"/>
        <w:jc w:val="center"/>
        <w:rPr>
          <w:rFonts w:ascii="Times New Roman" w:hAnsi="Times New Roman"/>
          <w:b/>
          <w:iCs/>
          <w:sz w:val="28"/>
          <w:szCs w:val="24"/>
        </w:rPr>
      </w:pPr>
    </w:p>
    <w:p w:rsid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Употребление психоактивных веществ, в том числе алкоголя, негативно влияет на правопослушное поведение несовершеннолетних и в ряде случаев способствует совершению ими противоправных действий.</w:t>
      </w:r>
    </w:p>
    <w:p w:rsidR="003C70B7" w:rsidRPr="003C70B7" w:rsidRDefault="003C70B7" w:rsidP="003C70B7">
      <w:pPr>
        <w:spacing w:after="0" w:line="240" w:lineRule="auto"/>
        <w:ind w:right="-1" w:firstLine="709"/>
        <w:jc w:val="both"/>
        <w:rPr>
          <w:rFonts w:ascii="Times New Roman" w:hAnsi="Times New Roman"/>
          <w:iCs/>
          <w:sz w:val="24"/>
          <w:szCs w:val="24"/>
        </w:rPr>
      </w:pPr>
      <w:r>
        <w:rPr>
          <w:rFonts w:ascii="Times New Roman" w:hAnsi="Times New Roman"/>
          <w:iCs/>
          <w:sz w:val="24"/>
          <w:szCs w:val="24"/>
        </w:rPr>
        <w:t>О</w:t>
      </w:r>
      <w:r w:rsidR="00F87272">
        <w:rPr>
          <w:rFonts w:ascii="Times New Roman" w:hAnsi="Times New Roman"/>
          <w:iCs/>
          <w:sz w:val="24"/>
          <w:szCs w:val="24"/>
        </w:rPr>
        <w:t>бластное комплексное профилактическое мероприятие</w:t>
      </w:r>
      <w:r w:rsidRPr="003C70B7">
        <w:rPr>
          <w:rFonts w:ascii="Times New Roman" w:hAnsi="Times New Roman"/>
          <w:iCs/>
          <w:sz w:val="24"/>
          <w:szCs w:val="24"/>
        </w:rPr>
        <w:t xml:space="preserve"> «Вместе МЫ сила» (далее –</w:t>
      </w:r>
      <w:r w:rsidR="00F87272">
        <w:rPr>
          <w:rFonts w:ascii="Times New Roman" w:hAnsi="Times New Roman"/>
          <w:iCs/>
          <w:sz w:val="24"/>
          <w:szCs w:val="24"/>
        </w:rPr>
        <w:t xml:space="preserve"> </w:t>
      </w:r>
      <w:r w:rsidRPr="003C70B7">
        <w:rPr>
          <w:rFonts w:ascii="Times New Roman" w:hAnsi="Times New Roman"/>
          <w:iCs/>
          <w:sz w:val="24"/>
          <w:szCs w:val="24"/>
        </w:rPr>
        <w:t>КПМ) разработано с учетом необходимости повышения качества проводимой работы в сфере противодействия распространения ПАВ (понимается как: наркотические, психоактивные вещества, алкоголь) в подростковой среде области.</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 xml:space="preserve">КПМ проводится по согласованию с прокуратурой Могилевской области. </w:t>
      </w:r>
      <w:r w:rsidRPr="003C70B7">
        <w:rPr>
          <w:rFonts w:ascii="Times New Roman" w:hAnsi="Times New Roman"/>
          <w:iCs/>
          <w:sz w:val="24"/>
          <w:szCs w:val="24"/>
        </w:rPr>
        <w:tab/>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Организаторами и партнерами КПМ являются комиссия по делам несовершеннолетних, главное управление по образованию, управление внутренних дел облисполкома.</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КПМ проводится в тесном взаимодействии с управлениями культуры, спорта и туризма, главными управлениями по здравоохранению, идеологической работы и по делам молодежи облисполкома, а также общественными организациями.</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Цель:</w:t>
      </w:r>
      <w:r w:rsidR="00F87272">
        <w:rPr>
          <w:rFonts w:ascii="Times New Roman" w:hAnsi="Times New Roman"/>
          <w:iCs/>
          <w:sz w:val="24"/>
          <w:szCs w:val="24"/>
        </w:rPr>
        <w:t xml:space="preserve"> </w:t>
      </w:r>
      <w:r w:rsidRPr="003C70B7">
        <w:rPr>
          <w:rFonts w:ascii="Times New Roman" w:hAnsi="Times New Roman"/>
          <w:iCs/>
          <w:sz w:val="24"/>
          <w:szCs w:val="24"/>
        </w:rPr>
        <w:t>формирование у детей и подростков установки на здоровый образ жизни, предупреждение употребления и распространения ПАВ среди несовершеннолетних.</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КМП проводится в два этапа:</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1 этап: областная антинаркотическая межведомственная акция «Вместе против наркотиков»;</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2 этап: областная профилактическая межведомственная акция «Вместе за здоровый образ жизни».</w:t>
      </w:r>
    </w:p>
    <w:p w:rsidR="003C70B7" w:rsidRPr="003C70B7" w:rsidRDefault="003C70B7" w:rsidP="003C70B7">
      <w:pPr>
        <w:spacing w:after="0" w:line="240" w:lineRule="auto"/>
        <w:ind w:right="-1" w:firstLine="709"/>
        <w:jc w:val="both"/>
        <w:rPr>
          <w:rFonts w:ascii="Times New Roman" w:hAnsi="Times New Roman"/>
          <w:b/>
          <w:iCs/>
          <w:sz w:val="24"/>
          <w:szCs w:val="24"/>
          <w:u w:val="single"/>
        </w:rPr>
      </w:pPr>
      <w:r w:rsidRPr="003C70B7">
        <w:rPr>
          <w:rFonts w:ascii="Times New Roman" w:hAnsi="Times New Roman"/>
          <w:b/>
          <w:iCs/>
          <w:sz w:val="24"/>
          <w:szCs w:val="24"/>
          <w:u w:val="single"/>
        </w:rPr>
        <w:t>1 этап</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областная антинаркотическая межведомственная акция</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 xml:space="preserve">«Вместе против наркотиков» </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 xml:space="preserve">Задачей областной антинаркотической межведомственной акции «Вместе против наркотиков» (далее –Акция) является осуществление межведомственных мероприятий (разработка новых форм) антинаркотической превенции. </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Сроки и порядок проведения с 14 февраля по 2 марта 2023г.</w:t>
      </w:r>
    </w:p>
    <w:p w:rsidR="003C70B7" w:rsidRPr="003C70B7" w:rsidRDefault="003C70B7" w:rsidP="003C70B7">
      <w:pPr>
        <w:spacing w:after="0" w:line="240" w:lineRule="auto"/>
        <w:ind w:right="-1" w:firstLine="709"/>
        <w:jc w:val="both"/>
        <w:rPr>
          <w:rFonts w:ascii="Times New Roman" w:hAnsi="Times New Roman"/>
          <w:b/>
          <w:iCs/>
          <w:sz w:val="24"/>
          <w:szCs w:val="24"/>
          <w:u w:val="single"/>
        </w:rPr>
      </w:pPr>
      <w:r w:rsidRPr="003C70B7">
        <w:rPr>
          <w:rFonts w:ascii="Times New Roman" w:hAnsi="Times New Roman"/>
          <w:b/>
          <w:iCs/>
          <w:sz w:val="24"/>
          <w:szCs w:val="24"/>
          <w:u w:val="single"/>
        </w:rPr>
        <w:t xml:space="preserve">2 этап </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областная профилактическая межведомственная</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акция «Вместе за здоровый образ жизни»</w:t>
      </w:r>
    </w:p>
    <w:p w:rsidR="003C70B7" w:rsidRP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 xml:space="preserve">Задачей областной профилактической межведомственной акции «Вместе за здоровый образ жизни» (далее –Акция)является развитие активных форм взаимодействия с подростковой аудиторией по вопросам формирования устойчивых установок на ведение здорового образа жизни. </w:t>
      </w:r>
    </w:p>
    <w:p w:rsidR="003C70B7" w:rsidRDefault="003C70B7" w:rsidP="003C70B7">
      <w:pPr>
        <w:spacing w:after="0" w:line="240" w:lineRule="auto"/>
        <w:ind w:right="-1" w:firstLine="709"/>
        <w:jc w:val="both"/>
        <w:rPr>
          <w:rFonts w:ascii="Times New Roman" w:hAnsi="Times New Roman"/>
          <w:iCs/>
          <w:sz w:val="24"/>
          <w:szCs w:val="24"/>
        </w:rPr>
      </w:pPr>
      <w:r w:rsidRPr="003C70B7">
        <w:rPr>
          <w:rFonts w:ascii="Times New Roman" w:hAnsi="Times New Roman"/>
          <w:iCs/>
          <w:sz w:val="24"/>
          <w:szCs w:val="24"/>
        </w:rPr>
        <w:t>Сроки и порядок проведения с 27 февраля по 17 марта 2023г.</w:t>
      </w:r>
    </w:p>
    <w:p w:rsidR="002E444C" w:rsidRPr="002E444C" w:rsidRDefault="002E444C" w:rsidP="003C70B7">
      <w:pPr>
        <w:spacing w:after="0" w:line="240" w:lineRule="auto"/>
        <w:ind w:right="-1" w:firstLine="709"/>
        <w:jc w:val="both"/>
        <w:rPr>
          <w:rFonts w:ascii="Times New Roman" w:hAnsi="Times New Roman"/>
          <w:iCs/>
          <w:sz w:val="28"/>
          <w:szCs w:val="24"/>
        </w:rPr>
      </w:pPr>
    </w:p>
    <w:p w:rsidR="002E444C" w:rsidRPr="002E444C" w:rsidRDefault="002E444C" w:rsidP="002E444C">
      <w:pPr>
        <w:pStyle w:val="a3"/>
        <w:numPr>
          <w:ilvl w:val="0"/>
          <w:numId w:val="3"/>
        </w:numPr>
        <w:jc w:val="center"/>
        <w:rPr>
          <w:rFonts w:ascii="Times New Roman" w:hAnsi="Times New Roman"/>
          <w:b/>
          <w:sz w:val="28"/>
          <w:szCs w:val="24"/>
        </w:rPr>
      </w:pPr>
      <w:r w:rsidRPr="002E444C">
        <w:rPr>
          <w:rFonts w:ascii="Times New Roman" w:hAnsi="Times New Roman"/>
          <w:b/>
          <w:sz w:val="28"/>
          <w:szCs w:val="24"/>
        </w:rPr>
        <w:t>Профилактика семейного неблагополучия и социального сиротства</w:t>
      </w:r>
    </w:p>
    <w:p w:rsidR="002E444C" w:rsidRPr="002E444C" w:rsidRDefault="002E444C" w:rsidP="002E444C">
      <w:pPr>
        <w:spacing w:after="0"/>
        <w:ind w:firstLine="709"/>
        <w:jc w:val="both"/>
        <w:rPr>
          <w:rFonts w:ascii="Times New Roman" w:hAnsi="Times New Roman"/>
          <w:sz w:val="24"/>
          <w:szCs w:val="24"/>
        </w:rPr>
      </w:pPr>
      <w:r w:rsidRPr="002E444C">
        <w:rPr>
          <w:rFonts w:ascii="Times New Roman" w:hAnsi="Times New Roman"/>
          <w:sz w:val="24"/>
          <w:szCs w:val="24"/>
        </w:rPr>
        <w:t>Длительное время к сиротам относились дети, потерявшие родителей вследствие различных причин.Актуальным в настоящее время сталосоциальное сиротство,выражающееся в появлении в обществе детей, которые имеют биологических родителей, но они по каким-то причинам не занимаются воспитанием ребенка и не заботятся о нем. Социальное сиротствоявляется следствием семейного неблагополучия.</w:t>
      </w:r>
    </w:p>
    <w:p w:rsidR="002E444C" w:rsidRPr="002E444C" w:rsidRDefault="002E444C" w:rsidP="002E444C">
      <w:pPr>
        <w:spacing w:after="0"/>
        <w:ind w:firstLine="709"/>
        <w:jc w:val="both"/>
        <w:rPr>
          <w:rFonts w:ascii="Times New Roman" w:hAnsi="Times New Roman"/>
          <w:sz w:val="24"/>
          <w:szCs w:val="24"/>
        </w:rPr>
      </w:pPr>
      <w:r w:rsidRPr="002E444C">
        <w:rPr>
          <w:rFonts w:ascii="Times New Roman" w:hAnsi="Times New Roman"/>
          <w:b/>
          <w:sz w:val="24"/>
          <w:szCs w:val="24"/>
        </w:rPr>
        <w:t>Неблагополучная семья</w:t>
      </w:r>
      <w:r w:rsidRPr="002E444C">
        <w:rPr>
          <w:rFonts w:ascii="Times New Roman" w:hAnsi="Times New Roman"/>
          <w:sz w:val="24"/>
          <w:szCs w:val="24"/>
        </w:rPr>
        <w:t xml:space="preserve"> –</w:t>
      </w:r>
      <w:r w:rsidRPr="002E444C">
        <w:rPr>
          <w:rFonts w:ascii="Times New Roman" w:hAnsi="Times New Roman"/>
          <w:sz w:val="24"/>
          <w:szCs w:val="24"/>
          <w:shd w:val="clear" w:color="auto" w:fill="FFFFFF"/>
        </w:rPr>
        <w:t xml:space="preserve">это семья, в которой родители пренебрегают нуждами своих несовершеннолетних детей, не выполняют свои родительские обязанности или жестоко с ними обращаются. Например, дети в таких семьях могут находиться без присмотра, бывают голодными, потому что дома не всегда есть продукты. Они не получают необходимого лечения, не учатся, носят не соответствующую сезону и возрасту одежду, подвергаются насилию и т. п. </w:t>
      </w:r>
      <w:r w:rsidRPr="002E444C">
        <w:rPr>
          <w:rFonts w:ascii="Times New Roman" w:hAnsi="Times New Roman"/>
          <w:sz w:val="24"/>
          <w:szCs w:val="24"/>
        </w:rPr>
        <w:t>Обнаруживается так называемое «скрытое» социальное сиротство, которое связано с ухудшением условий жизни семьи, падением ее нравственных устоев и изменением отношения к детям, вплоть до их полного вытеснения из семей, вследствие чего растет беспризорность среди детей и подростков</w:t>
      </w:r>
      <w:r w:rsidRPr="002E444C">
        <w:rPr>
          <w:sz w:val="24"/>
          <w:szCs w:val="24"/>
        </w:rPr>
        <w:t>.</w:t>
      </w:r>
      <w:r w:rsidRPr="002E444C">
        <w:rPr>
          <w:rFonts w:ascii="Times New Roman" w:hAnsi="Times New Roman"/>
          <w:sz w:val="24"/>
          <w:szCs w:val="24"/>
        </w:rPr>
        <w:t>Рост числа разводов, увеличение числа неполных семей, безработица родителей увеличивают риск возникновения социального сиротства.</w:t>
      </w:r>
    </w:p>
    <w:p w:rsidR="002E444C" w:rsidRPr="002E444C" w:rsidRDefault="002E444C" w:rsidP="002E444C">
      <w:pPr>
        <w:spacing w:after="0"/>
        <w:ind w:firstLine="709"/>
        <w:jc w:val="both"/>
        <w:rPr>
          <w:rFonts w:ascii="Times New Roman" w:hAnsi="Times New Roman"/>
          <w:sz w:val="24"/>
          <w:szCs w:val="24"/>
        </w:rPr>
      </w:pPr>
      <w:r w:rsidRPr="002E444C">
        <w:rPr>
          <w:rFonts w:ascii="Times New Roman" w:hAnsi="Times New Roman"/>
          <w:b/>
          <w:sz w:val="24"/>
          <w:szCs w:val="24"/>
        </w:rPr>
        <w:t>Критерии неблагополучия</w:t>
      </w:r>
      <w:r w:rsidRPr="002E444C">
        <w:rPr>
          <w:rFonts w:ascii="Times New Roman" w:hAnsi="Times New Roman"/>
          <w:sz w:val="24"/>
          <w:szCs w:val="24"/>
        </w:rPr>
        <w:t xml:space="preserve"> семьи:</w:t>
      </w:r>
    </w:p>
    <w:p w:rsidR="002E444C" w:rsidRPr="002E444C" w:rsidRDefault="002E444C" w:rsidP="002E444C">
      <w:pPr>
        <w:spacing w:after="0"/>
        <w:ind w:firstLine="709"/>
        <w:jc w:val="both"/>
        <w:rPr>
          <w:rFonts w:ascii="Times New Roman" w:eastAsia="Times New Roman" w:hAnsi="Times New Roman"/>
          <w:i/>
          <w:sz w:val="24"/>
          <w:szCs w:val="24"/>
          <w:u w:val="single"/>
          <w:lang w:eastAsia="ru-RU"/>
        </w:rPr>
      </w:pPr>
      <w:r w:rsidRPr="002E444C">
        <w:rPr>
          <w:rFonts w:ascii="Times New Roman" w:eastAsia="Times New Roman" w:hAnsi="Times New Roman"/>
          <w:sz w:val="24"/>
          <w:szCs w:val="24"/>
          <w:lang w:eastAsia="ru-RU"/>
        </w:rPr>
        <w:t xml:space="preserve">1. </w:t>
      </w:r>
      <w:r w:rsidRPr="002E444C">
        <w:rPr>
          <w:rFonts w:ascii="Times New Roman" w:eastAsia="Times New Roman" w:hAnsi="Times New Roman"/>
          <w:i/>
          <w:sz w:val="24"/>
          <w:szCs w:val="24"/>
          <w:u w:val="single"/>
          <w:lang w:eastAsia="ru-RU"/>
        </w:rPr>
        <w:t>Родителями не удовлетворяются основные жизненные потребности ребенка (детей):</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-родители допускают оставление ребенка (детей) без пищи;</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lastRenderedPageBreak/>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-родители допускают проживание ребенка (детей) в жилых помещениях, в которых печи, теплогенерирующие агрегаты, газовое оборудование, электрические сети, электроприборы не соответствуют требованиям технических нормативных правовых актов либо эксплуатационной документации на них,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не соответствуют требованиям пожарной безопасности и имеются условия, создающие непосредственную угрозу возникновения пожара;</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-родители препятствуют получению ребенком обязательного общего базового образования (в любой форме его получения);</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2E444C" w:rsidRPr="002E444C" w:rsidRDefault="002E444C" w:rsidP="002E444C">
      <w:pPr>
        <w:spacing w:after="0"/>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w:t>
      </w:r>
    </w:p>
    <w:p w:rsidR="002E444C" w:rsidRPr="002E444C" w:rsidRDefault="002E444C" w:rsidP="002E444C">
      <w:pPr>
        <w:spacing w:after="0"/>
        <w:jc w:val="both"/>
        <w:rPr>
          <w:rFonts w:ascii="Times New Roman" w:hAnsi="Times New Roman"/>
          <w:i/>
          <w:sz w:val="24"/>
          <w:szCs w:val="24"/>
          <w:u w:val="single"/>
        </w:rPr>
      </w:pPr>
      <w:r w:rsidRPr="002E444C">
        <w:rPr>
          <w:rFonts w:ascii="Times New Roman" w:eastAsia="Times New Roman" w:hAnsi="Times New Roman"/>
          <w:i/>
          <w:sz w:val="24"/>
          <w:szCs w:val="24"/>
          <w:u w:val="single"/>
          <w:lang w:eastAsia="ru-RU"/>
        </w:rPr>
        <w:t>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-в отношении родителей ребенка (детей) неоднократно в течение года установлены факты привлечения к административной ответственности по статье 10.3 Кодекса Республики Беларусь об административных правонарушениях;</w:t>
      </w:r>
    </w:p>
    <w:p w:rsidR="002E444C" w:rsidRPr="002E444C" w:rsidRDefault="002E444C" w:rsidP="002E444C">
      <w:pPr>
        <w:spacing w:after="0"/>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-в отношении родителей ребенка (детей) в возрасте старше 14 лет в рамках административного либо уголовного процессов установлены факты, подтверждающие что они не контролируют его (их) поведение и местонахождение, вследствие чего ребенок (дети) привлечен к административной либо уголовной ответственности.</w:t>
      </w:r>
    </w:p>
    <w:p w:rsidR="002E444C" w:rsidRPr="002E444C" w:rsidRDefault="002E444C" w:rsidP="002E444C">
      <w:pPr>
        <w:spacing w:after="0"/>
        <w:jc w:val="both"/>
        <w:rPr>
          <w:rFonts w:ascii="Times New Roman" w:hAnsi="Times New Roman"/>
          <w:i/>
          <w:sz w:val="24"/>
          <w:szCs w:val="24"/>
          <w:u w:val="single"/>
        </w:rPr>
      </w:pPr>
      <w:r w:rsidRPr="002E444C">
        <w:rPr>
          <w:rFonts w:ascii="Times New Roman" w:eastAsia="Times New Roman" w:hAnsi="Times New Roman"/>
          <w:i/>
          <w:sz w:val="24"/>
          <w:szCs w:val="24"/>
          <w:u w:val="single"/>
          <w:lang w:eastAsia="ru-RU"/>
        </w:rPr>
        <w:t>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19.1, частью 2 статьи 19.3, статьями 19.4, 19.5, 19.8 Кодекса Республики Беларусь об административных правонарушениях;</w:t>
      </w:r>
    </w:p>
    <w:p w:rsidR="002E444C" w:rsidRPr="002E444C" w:rsidRDefault="002E444C" w:rsidP="002E444C">
      <w:pPr>
        <w:spacing w:after="0" w:line="240" w:lineRule="auto"/>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меры профилактического воздействия;</w:t>
      </w:r>
    </w:p>
    <w:p w:rsidR="002E444C" w:rsidRPr="002E444C" w:rsidRDefault="002E444C" w:rsidP="002E444C">
      <w:pPr>
        <w:spacing w:after="0"/>
        <w:jc w:val="both"/>
        <w:rPr>
          <w:rFonts w:ascii="Times New Roman" w:hAnsi="Times New Roman"/>
          <w:sz w:val="24"/>
          <w:szCs w:val="24"/>
        </w:rPr>
      </w:pPr>
      <w:r w:rsidRPr="002E444C">
        <w:rPr>
          <w:rFonts w:ascii="Times New Roman" w:eastAsia="Times New Roman" w:hAnsi="Times New Roman"/>
          <w:sz w:val="24"/>
          <w:szCs w:val="24"/>
          <w:lang w:eastAsia="ru-RU"/>
        </w:rPr>
        <w:t>-установлены факты жестокого обращения родителей, иных лиц, участвующих в воспитании и содержании детей, с ребенком, физического и (или) психологического насилия по отношению к нему.</w:t>
      </w:r>
    </w:p>
    <w:p w:rsidR="002E444C" w:rsidRPr="002E444C" w:rsidRDefault="002E444C" w:rsidP="002E444C">
      <w:pPr>
        <w:spacing w:after="0"/>
        <w:ind w:firstLine="709"/>
        <w:jc w:val="both"/>
        <w:rPr>
          <w:rFonts w:ascii="Times New Roman" w:hAnsi="Times New Roman"/>
          <w:sz w:val="24"/>
          <w:szCs w:val="24"/>
        </w:rPr>
      </w:pPr>
      <w:r w:rsidRPr="002E444C">
        <w:rPr>
          <w:rFonts w:ascii="Times New Roman" w:eastAsia="Times New Roman" w:hAnsi="Times New Roman"/>
          <w:b/>
          <w:color w:val="000000"/>
          <w:sz w:val="24"/>
          <w:szCs w:val="24"/>
          <w:lang w:eastAsia="ru-RU"/>
        </w:rPr>
        <w:t>В «группе риска» по семейному неблагополучию могут оказаться следующие семьи:</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t>Неполные семьи, в том числе, </w:t>
      </w:r>
      <w:r w:rsidRPr="002E444C">
        <w:rPr>
          <w:rFonts w:ascii="Times New Roman" w:eastAsia="Times New Roman" w:hAnsi="Times New Roman"/>
          <w:i/>
          <w:iCs/>
          <w:color w:val="000000"/>
          <w:sz w:val="24"/>
          <w:szCs w:val="24"/>
          <w:lang w:eastAsia="ru-RU"/>
        </w:rPr>
        <w:t>функционально неполные семьи</w:t>
      </w:r>
      <w:r w:rsidRPr="002E444C">
        <w:rPr>
          <w:rFonts w:ascii="Times New Roman" w:eastAsia="Times New Roman" w:hAnsi="Times New Roman"/>
          <w:color w:val="000000"/>
          <w:sz w:val="24"/>
          <w:szCs w:val="24"/>
          <w:lang w:eastAsia="ru-RU"/>
        </w:rPr>
        <w:t> (в которых  двародителя, но различные причины препятствуют полноценному общению ребенка с одним или обоими родителями).</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t>Семьи, где отношения между родителями напряженные или подано заявление на развод. Особое внимание необходимо здесь уделить семье с одним ребенком, наиболее уязвимым при распаде семьи.</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t>Семьи с недавней смертью одного из родственников, т.к. негативные последствия отражаются на развитии личности ребенка и могут вылиться в стойкие депрессивные состояния.</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t>Семьи, где один из родителей является хроническим безработным, что отражается на достатке семьи.</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t> Семьи в начальной стадии алкоголизации одного или обоих родителей, которая пока не влияет или несущественно влияет на  выполнение  их родительских функций.</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lastRenderedPageBreak/>
        <w:t>Неустроенные в бытовом плане семьи, при наличии сопутствующих негативных признаков (отсутствие родственной поддержки, наличие в прошлом негативного опыта воспитания в неблагополучных семьях или воспитания в детском интернатном учреждении у одного или обоих родителей).</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t>Семьи с высокой частотой конфликтов в диаде «родители-дети», провоцирующие побеги ребенка из дома, стойкий негативизм ребенка по отношению к требованиям родителей или иной вариант «ухода» от общения с социализирующими взрослыми в семье.</w:t>
      </w:r>
    </w:p>
    <w:p w:rsidR="002E444C" w:rsidRPr="002E444C" w:rsidRDefault="002E444C" w:rsidP="002E444C">
      <w:pPr>
        <w:numPr>
          <w:ilvl w:val="0"/>
          <w:numId w:val="4"/>
        </w:numPr>
        <w:shd w:val="clear" w:color="auto" w:fill="FFFFFF"/>
        <w:spacing w:after="0" w:line="240" w:lineRule="auto"/>
        <w:ind w:left="450"/>
        <w:jc w:val="both"/>
        <w:rPr>
          <w:rFonts w:ascii="Times New Roman" w:eastAsia="Times New Roman" w:hAnsi="Times New Roman"/>
          <w:color w:val="111111"/>
          <w:sz w:val="24"/>
          <w:szCs w:val="24"/>
          <w:lang w:eastAsia="ru-RU"/>
        </w:rPr>
      </w:pPr>
      <w:r w:rsidRPr="002E444C">
        <w:rPr>
          <w:rFonts w:ascii="Times New Roman" w:eastAsia="Times New Roman" w:hAnsi="Times New Roman"/>
          <w:color w:val="000000"/>
          <w:sz w:val="24"/>
          <w:szCs w:val="24"/>
          <w:lang w:eastAsia="ru-RU"/>
        </w:rPr>
        <w:t>Те семьи, в которых заболевание родителя (физическое или психическое) или инвалидность препятствует полноценному выполнению ими родительских функций.</w:t>
      </w:r>
    </w:p>
    <w:p w:rsidR="002E444C" w:rsidRPr="002E444C" w:rsidRDefault="002E444C" w:rsidP="002E444C">
      <w:pPr>
        <w:shd w:val="clear" w:color="auto" w:fill="FFFFFF"/>
        <w:spacing w:after="0" w:line="240" w:lineRule="auto"/>
        <w:ind w:firstLine="709"/>
        <w:jc w:val="both"/>
        <w:rPr>
          <w:rFonts w:ascii="Times New Roman" w:hAnsi="Times New Roman"/>
          <w:sz w:val="24"/>
          <w:szCs w:val="24"/>
        </w:rPr>
      </w:pPr>
      <w:r w:rsidRPr="002E444C">
        <w:rPr>
          <w:rFonts w:ascii="Times New Roman" w:hAnsi="Times New Roman"/>
          <w:sz w:val="24"/>
          <w:szCs w:val="24"/>
        </w:rPr>
        <w:t xml:space="preserve">Такие семьи, как правило, несправляются с возложенными на них функциями, процесс семейного воспитания ребенка протекает с большими трудностями. </w:t>
      </w:r>
    </w:p>
    <w:p w:rsidR="002E444C" w:rsidRPr="002E444C" w:rsidRDefault="002E444C" w:rsidP="002E444C">
      <w:pPr>
        <w:pStyle w:val="a9"/>
        <w:shd w:val="clear" w:color="auto" w:fill="FFFFFF"/>
        <w:spacing w:before="0" w:beforeAutospacing="0" w:after="0" w:afterAutospacing="0"/>
        <w:ind w:firstLine="567"/>
        <w:jc w:val="both"/>
        <w:rPr>
          <w:rStyle w:val="aa"/>
          <w:b w:val="0"/>
          <w:color w:val="111111"/>
        </w:rPr>
      </w:pPr>
      <w:r w:rsidRPr="002E444C">
        <w:rPr>
          <w:rStyle w:val="aa"/>
          <w:color w:val="111111"/>
        </w:rPr>
        <w:t>В нашем обществе одной из ведущих причин семейного неблагополучия является алкоголизм одного или обоих родителей.Взрослые в такой семье, забыв о своих родительских обязанностях, целиком и полностью погружаются в алкогольную субкультуру. В конечном итоге члены семьи не уделяют внимания друг другу, в особенности родители детям. Жизнь детей в такой семейной атмосфере становится невыносимой.</w:t>
      </w:r>
    </w:p>
    <w:p w:rsidR="002E444C" w:rsidRPr="002E444C" w:rsidRDefault="002E444C" w:rsidP="002E444C">
      <w:pPr>
        <w:pStyle w:val="a9"/>
        <w:shd w:val="clear" w:color="auto" w:fill="FFFFFF"/>
        <w:spacing w:before="0" w:beforeAutospacing="0" w:after="0" w:afterAutospacing="0"/>
        <w:ind w:firstLine="567"/>
        <w:jc w:val="both"/>
      </w:pPr>
      <w:r w:rsidRPr="002E444C">
        <w:rPr>
          <w:shd w:val="clear" w:color="auto" w:fill="FFFFFF"/>
        </w:rPr>
        <w:t xml:space="preserve">В нашей стране профилактика </w:t>
      </w:r>
      <w:r w:rsidRPr="002E444C">
        <w:t xml:space="preserve">социального сиротства и </w:t>
      </w:r>
      <w:r w:rsidRPr="002E444C">
        <w:rPr>
          <w:shd w:val="clear" w:color="auto" w:fill="FFFFFF"/>
        </w:rPr>
        <w:t>семейного неблагополучия</w:t>
      </w:r>
      <w:r w:rsidRPr="002E444C">
        <w:t>подразумевает комплекс мер по работе с родителями и детьми с целью формирования и сохранения нормальных семейных отношений, ориентации на здоровый образ жизни, возрождения института семьи и брака. Организовать эффективную работу в данном направлении можно только через межведомственное взаимодействие органов и организаций профилактики социального сиротства и семейного неблагополучия:</w:t>
      </w:r>
    </w:p>
    <w:p w:rsidR="002E444C" w:rsidRPr="002E444C" w:rsidRDefault="002E444C" w:rsidP="002E444C">
      <w:pPr>
        <w:shd w:val="clear" w:color="auto" w:fill="FFFFFF"/>
        <w:spacing w:after="0" w:line="240" w:lineRule="auto"/>
        <w:ind w:firstLine="709"/>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w:t>
      </w:r>
      <w:r w:rsidRPr="002E444C">
        <w:rPr>
          <w:rFonts w:ascii="Times New Roman" w:eastAsia="Times New Roman" w:hAnsi="Times New Roman"/>
          <w:b/>
          <w:sz w:val="24"/>
          <w:szCs w:val="24"/>
          <w:lang w:eastAsia="ru-RU"/>
        </w:rPr>
        <w:t>организации здравоохранения;</w:t>
      </w:r>
      <w:r w:rsidRPr="002E444C">
        <w:rPr>
          <w:rFonts w:ascii="Times New Roman" w:eastAsia="Times New Roman" w:hAnsi="Times New Roman"/>
          <w:sz w:val="24"/>
          <w:szCs w:val="24"/>
          <w:lang w:eastAsia="ru-RU"/>
        </w:rPr>
        <w:t> </w:t>
      </w:r>
    </w:p>
    <w:p w:rsidR="002E444C" w:rsidRPr="002E444C" w:rsidRDefault="002E444C" w:rsidP="002E444C">
      <w:pPr>
        <w:shd w:val="clear" w:color="auto" w:fill="FFFFFF"/>
        <w:spacing w:after="0" w:line="240" w:lineRule="auto"/>
        <w:ind w:firstLine="709"/>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w:t>
      </w:r>
      <w:r w:rsidRPr="002E444C">
        <w:rPr>
          <w:rFonts w:ascii="Times New Roman" w:eastAsia="Times New Roman" w:hAnsi="Times New Roman"/>
          <w:b/>
          <w:sz w:val="24"/>
          <w:szCs w:val="24"/>
          <w:lang w:eastAsia="ru-RU"/>
        </w:rPr>
        <w:t>органы внутренних дел; </w:t>
      </w:r>
    </w:p>
    <w:p w:rsidR="002E444C" w:rsidRPr="002E444C" w:rsidRDefault="002E444C" w:rsidP="002E444C">
      <w:pPr>
        <w:shd w:val="clear" w:color="auto" w:fill="FFFFFF"/>
        <w:spacing w:after="0" w:line="240" w:lineRule="auto"/>
        <w:ind w:firstLine="709"/>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w:t>
      </w:r>
      <w:r w:rsidRPr="002E444C">
        <w:rPr>
          <w:rFonts w:ascii="Times New Roman" w:eastAsia="Times New Roman" w:hAnsi="Times New Roman"/>
          <w:b/>
          <w:sz w:val="24"/>
          <w:szCs w:val="24"/>
          <w:lang w:eastAsia="ru-RU"/>
        </w:rPr>
        <w:t>органы и подразделения по чрезвычайным ситуациям;</w:t>
      </w:r>
      <w:r w:rsidRPr="002E444C">
        <w:rPr>
          <w:rFonts w:ascii="Times New Roman" w:eastAsia="Times New Roman" w:hAnsi="Times New Roman"/>
          <w:sz w:val="24"/>
          <w:szCs w:val="24"/>
          <w:lang w:eastAsia="ru-RU"/>
        </w:rPr>
        <w:t> </w:t>
      </w:r>
    </w:p>
    <w:p w:rsidR="002E444C" w:rsidRPr="002E444C" w:rsidRDefault="002E444C" w:rsidP="002E444C">
      <w:pPr>
        <w:shd w:val="clear" w:color="auto" w:fill="FFFFFF"/>
        <w:spacing w:after="0" w:line="240" w:lineRule="auto"/>
        <w:ind w:firstLine="709"/>
        <w:jc w:val="both"/>
        <w:rPr>
          <w:rFonts w:ascii="Times New Roman" w:eastAsia="Times New Roman" w:hAnsi="Times New Roman"/>
          <w:b/>
          <w:sz w:val="24"/>
          <w:szCs w:val="24"/>
          <w:lang w:eastAsia="ru-RU"/>
        </w:rPr>
      </w:pPr>
      <w:r w:rsidRPr="002E444C">
        <w:rPr>
          <w:rFonts w:ascii="Times New Roman" w:eastAsia="Times New Roman" w:hAnsi="Times New Roman"/>
          <w:sz w:val="24"/>
          <w:szCs w:val="24"/>
          <w:lang w:eastAsia="ru-RU"/>
        </w:rPr>
        <w:t>-</w:t>
      </w:r>
      <w:r w:rsidRPr="002E444C">
        <w:rPr>
          <w:rFonts w:ascii="Times New Roman" w:eastAsia="Times New Roman" w:hAnsi="Times New Roman"/>
          <w:b/>
          <w:sz w:val="24"/>
          <w:szCs w:val="24"/>
          <w:lang w:eastAsia="ru-RU"/>
        </w:rPr>
        <w:t>организации, осуществляющие эксплуатацию жилищного фонда и (или) предоставляющие жилищно-коммунальные услуги;</w:t>
      </w:r>
    </w:p>
    <w:p w:rsidR="002E444C" w:rsidRPr="002E444C" w:rsidRDefault="002E444C" w:rsidP="002E444C">
      <w:pPr>
        <w:shd w:val="clear" w:color="auto" w:fill="FFFFFF"/>
        <w:spacing w:after="0" w:line="240" w:lineRule="auto"/>
        <w:ind w:firstLine="709"/>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w:t>
      </w:r>
      <w:r w:rsidRPr="002E444C">
        <w:rPr>
          <w:rFonts w:ascii="Times New Roman" w:eastAsia="Times New Roman" w:hAnsi="Times New Roman"/>
          <w:b/>
          <w:sz w:val="24"/>
          <w:szCs w:val="24"/>
          <w:lang w:eastAsia="ru-RU"/>
        </w:rPr>
        <w:t>государственные организации, в ведении или управлении которых находятся жилые помещения государственного жилищного фонда в общежитиях;</w:t>
      </w:r>
    </w:p>
    <w:p w:rsidR="002E444C" w:rsidRPr="002E444C" w:rsidRDefault="002E444C" w:rsidP="002E444C">
      <w:pPr>
        <w:shd w:val="clear" w:color="auto" w:fill="FFFFFF"/>
        <w:spacing w:after="0" w:line="240" w:lineRule="auto"/>
        <w:ind w:firstLine="699"/>
        <w:jc w:val="both"/>
        <w:rPr>
          <w:rFonts w:ascii="Times New Roman" w:eastAsia="Times New Roman" w:hAnsi="Times New Roman"/>
          <w:sz w:val="24"/>
          <w:szCs w:val="24"/>
          <w:lang w:eastAsia="ru-RU"/>
        </w:rPr>
      </w:pPr>
      <w:r w:rsidRPr="002E444C">
        <w:rPr>
          <w:rFonts w:ascii="Times New Roman" w:eastAsia="Times New Roman" w:hAnsi="Times New Roman"/>
          <w:sz w:val="24"/>
          <w:szCs w:val="24"/>
          <w:lang w:eastAsia="ru-RU"/>
        </w:rPr>
        <w:t>-</w:t>
      </w:r>
      <w:r w:rsidRPr="002E444C">
        <w:rPr>
          <w:rFonts w:ascii="Times New Roman" w:eastAsia="Times New Roman" w:hAnsi="Times New Roman"/>
          <w:b/>
          <w:sz w:val="24"/>
          <w:szCs w:val="24"/>
          <w:lang w:eastAsia="ru-RU"/>
        </w:rPr>
        <w:t>учреждения образования;</w:t>
      </w:r>
    </w:p>
    <w:p w:rsidR="002E444C" w:rsidRPr="002E444C" w:rsidRDefault="002E444C" w:rsidP="002E444C">
      <w:pPr>
        <w:spacing w:after="0" w:line="240" w:lineRule="auto"/>
        <w:ind w:firstLine="720"/>
        <w:jc w:val="both"/>
        <w:textAlignment w:val="baseline"/>
        <w:rPr>
          <w:rFonts w:ascii="Times New Roman" w:eastAsia="Times New Roman" w:hAnsi="Times New Roman"/>
          <w:color w:val="1F1F1F"/>
          <w:sz w:val="24"/>
          <w:szCs w:val="24"/>
          <w:lang w:eastAsia="ru-RU"/>
        </w:rPr>
      </w:pPr>
      <w:r w:rsidRPr="002E444C">
        <w:rPr>
          <w:rFonts w:ascii="Times New Roman" w:eastAsia="Times New Roman" w:hAnsi="Times New Roman"/>
          <w:sz w:val="24"/>
          <w:szCs w:val="24"/>
          <w:lang w:eastAsia="ru-RU"/>
        </w:rPr>
        <w:t>-</w:t>
      </w:r>
      <w:r w:rsidRPr="002E444C">
        <w:rPr>
          <w:rFonts w:ascii="Times New Roman" w:eastAsia="Times New Roman" w:hAnsi="Times New Roman"/>
          <w:b/>
          <w:sz w:val="24"/>
          <w:szCs w:val="24"/>
          <w:lang w:eastAsia="ru-RU"/>
        </w:rPr>
        <w:t>органы по труду, занятости и социальной защите, территориальные центры социального обслуживания населения</w:t>
      </w:r>
      <w:bookmarkStart w:id="0" w:name="_GoBack"/>
      <w:bookmarkEnd w:id="0"/>
      <w:r w:rsidRPr="002E444C">
        <w:rPr>
          <w:rFonts w:ascii="Times New Roman" w:eastAsia="Times New Roman" w:hAnsi="Times New Roman"/>
          <w:sz w:val="24"/>
          <w:szCs w:val="24"/>
          <w:lang w:eastAsia="ru-RU"/>
        </w:rPr>
        <w:t xml:space="preserve">– при назначении пособий и пенсий, государственной адресной социальной помощи, осуществлении иных функций. Гражданам для преодоления трудной жизненной ситуации центрами социального обслуживания населения могут быть оказаны следующие социальные услуги: консультационно-информационные, социально-посреднические, социально-психологические услуги, услуга временного приюта,  </w:t>
      </w:r>
      <w:r w:rsidRPr="002E444C">
        <w:rPr>
          <w:rFonts w:ascii="Times New Roman" w:eastAsia="Times New Roman" w:hAnsi="Times New Roman"/>
          <w:color w:val="1F1F1F"/>
          <w:sz w:val="24"/>
          <w:szCs w:val="24"/>
          <w:lang w:eastAsia="ru-RU"/>
        </w:rPr>
        <w:t>социальный патронат, социально-педагогические услуги.</w:t>
      </w:r>
    </w:p>
    <w:p w:rsidR="002E444C" w:rsidRPr="002E444C" w:rsidRDefault="002E444C" w:rsidP="002E444C">
      <w:pPr>
        <w:pStyle w:val="a9"/>
        <w:shd w:val="clear" w:color="auto" w:fill="FFFFFF"/>
        <w:spacing w:before="0" w:beforeAutospacing="0" w:after="0" w:afterAutospacing="0"/>
        <w:ind w:firstLine="567"/>
        <w:jc w:val="both"/>
        <w:rPr>
          <w:rStyle w:val="aa"/>
          <w:b w:val="0"/>
          <w:color w:val="111111"/>
        </w:rPr>
      </w:pPr>
      <w:r w:rsidRPr="002E444C">
        <w:rPr>
          <w:rStyle w:val="aa"/>
          <w:color w:val="111111"/>
        </w:rPr>
        <w:t xml:space="preserve">Межведомственное взаимодействие заинтересованных служб позволяет принимать оперативные меры реагирования по постановке на учет и организации профилактической работы с неблагополучными семьями. </w:t>
      </w:r>
    </w:p>
    <w:p w:rsidR="002E444C" w:rsidRPr="002E444C" w:rsidRDefault="002E444C" w:rsidP="002E444C">
      <w:pPr>
        <w:pStyle w:val="a9"/>
        <w:shd w:val="clear" w:color="auto" w:fill="FFFFFF"/>
        <w:spacing w:before="0" w:beforeAutospacing="0" w:after="0" w:afterAutospacing="0"/>
        <w:ind w:firstLine="567"/>
        <w:jc w:val="both"/>
        <w:rPr>
          <w:bCs/>
          <w:color w:val="111111"/>
        </w:rPr>
      </w:pPr>
      <w:r w:rsidRPr="002E444C">
        <w:t>Однако никто из граждан не должен остаться безучастным в ситуациях нарушения прав детей. Соседи, родственники неблагополучной семьи – каждый должен понимать свою ответственность за жизнь и здоровье детей, находящихся в поле зрения.Если в поведении взрослых усматриваются признаки аморального поведения, имеет место злоупотребление алкогольными напитками, что негативно сказывается на несовершеннолетних, имеется прямая угроза жизни и здоровью детей, не удовлетворяются их основные жизненные потребности (потребность в пище, одежде по сезону, медицинской помощи, получении образования и др.), налицо факты жестокого обращения и насилия в отношении несовершеннолетних, имели место случаи оставления без присмотра малолетних детей – все это является поводом для незамедлительного обращения в государственные органы или организации, которыми будут приняты меры по защите прав детей.</w:t>
      </w:r>
    </w:p>
    <w:p w:rsidR="005651D9" w:rsidRDefault="005651D9" w:rsidP="005651D9">
      <w:pPr>
        <w:spacing w:after="0"/>
        <w:jc w:val="center"/>
        <w:rPr>
          <w:rFonts w:ascii="Times New Roman" w:hAnsi="Times New Roman"/>
          <w:b/>
          <w:sz w:val="28"/>
          <w:szCs w:val="24"/>
          <w:shd w:val="clear" w:color="auto" w:fill="FFFFFF"/>
        </w:rPr>
      </w:pPr>
    </w:p>
    <w:p w:rsidR="005651D9" w:rsidRDefault="005651D9" w:rsidP="005651D9">
      <w:pPr>
        <w:spacing w:after="0"/>
        <w:jc w:val="center"/>
        <w:rPr>
          <w:rFonts w:ascii="Times New Roman" w:hAnsi="Times New Roman"/>
          <w:b/>
          <w:sz w:val="28"/>
          <w:szCs w:val="24"/>
          <w:shd w:val="clear" w:color="auto" w:fill="FFFFFF"/>
        </w:rPr>
      </w:pPr>
    </w:p>
    <w:p w:rsidR="007D58C5" w:rsidRPr="005651D9" w:rsidRDefault="005651D9" w:rsidP="005651D9">
      <w:pPr>
        <w:pStyle w:val="a3"/>
        <w:numPr>
          <w:ilvl w:val="0"/>
          <w:numId w:val="3"/>
        </w:numPr>
        <w:spacing w:after="0"/>
        <w:jc w:val="center"/>
        <w:rPr>
          <w:rFonts w:ascii="Times New Roman" w:hAnsi="Times New Roman"/>
          <w:b/>
          <w:sz w:val="28"/>
          <w:szCs w:val="24"/>
          <w:shd w:val="clear" w:color="auto" w:fill="FFFFFF"/>
        </w:rPr>
      </w:pPr>
      <w:r w:rsidRPr="005651D9">
        <w:rPr>
          <w:rFonts w:ascii="Times New Roman" w:hAnsi="Times New Roman"/>
          <w:b/>
          <w:sz w:val="28"/>
          <w:szCs w:val="24"/>
          <w:shd w:val="clear" w:color="auto" w:fill="FFFFFF"/>
        </w:rPr>
        <w:t>Предупреждение</w:t>
      </w:r>
      <w:r w:rsidR="007D58C5" w:rsidRPr="005651D9">
        <w:rPr>
          <w:rFonts w:ascii="Times New Roman" w:hAnsi="Times New Roman"/>
          <w:b/>
          <w:sz w:val="28"/>
          <w:szCs w:val="24"/>
          <w:shd w:val="clear" w:color="auto" w:fill="FFFFFF"/>
        </w:rPr>
        <w:t xml:space="preserve"> ДТП, связанных с участием в дорожном движении лиц находящихся в с</w:t>
      </w:r>
      <w:r w:rsidRPr="005651D9">
        <w:rPr>
          <w:rFonts w:ascii="Times New Roman" w:hAnsi="Times New Roman"/>
          <w:b/>
          <w:sz w:val="28"/>
          <w:szCs w:val="24"/>
          <w:shd w:val="clear" w:color="auto" w:fill="FFFFFF"/>
        </w:rPr>
        <w:t>остоянии алкогольного опьянения</w:t>
      </w:r>
    </w:p>
    <w:p w:rsidR="007D58C5" w:rsidRPr="005651D9" w:rsidRDefault="007D58C5" w:rsidP="005651D9">
      <w:pPr>
        <w:spacing w:after="0" w:line="240" w:lineRule="auto"/>
        <w:ind w:firstLine="709"/>
        <w:jc w:val="both"/>
        <w:rPr>
          <w:rFonts w:ascii="Times New Roman" w:hAnsi="Times New Roman"/>
          <w:b/>
          <w:sz w:val="28"/>
          <w:szCs w:val="24"/>
          <w:shd w:val="clear" w:color="auto" w:fill="FFFFFF"/>
        </w:rPr>
      </w:pPr>
    </w:p>
    <w:p w:rsidR="007D58C5" w:rsidRPr="007D58C5" w:rsidRDefault="007D58C5" w:rsidP="005651D9">
      <w:pPr>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Алкоголь - главный враг безопасности дорожного движения, причина нелепой гибели людей. Именно спиртное становится связующим звеном между водителем и аварией.</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lastRenderedPageBreak/>
        <w:t>За 12  месяцев 2022 года на дорогах области по вине пьяных водителей произошло 90 учетных дорожно-транспортных происшествия: 28 человек погибло и 75 получили травмы.</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Не исключением стал и Чериковский район, на территории района по вине пьяного водителя произошло 1 учетное дорожно-транспортное происшествие, в котором 1 человек погиб.</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смекнет, что ему делать, автомобиль пройдет расстояние 30-40 м, а ведь зачастую оно и является роковым.</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 xml:space="preserve">Ввиду тяжести последствий нетрезвого вождения наказание в отношении нетрезвых водителей постоянно ужесточается. С 1 марта 2021 года вступила в силу новая редакция Кодекса Республики Беларусь об административных правонарушениях. </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Человек садиться за руль в состоянии опьянения, считая, что его просто не поймают. Ведь камеры пьяных от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пьяницу,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За 2022 год на дорогах Чериковского района с участием уязвимых участников дорожного движения совершено 4 дорожно-транспортных происшествий с участием уязвимых участников дорожного движения, в которых 4 человек получили телесные повреждения различной степени тяжести, 2 из них совершено в темное время суток. В 4 ДТП, 3 уязвимых участников дорожного движения находились в состоянии алкогольного опьянения. Только за истекший период текущего года были приняты меры реагирования в отношении 150 уязвимых участников дорожного движения (пешеходы, велосипедисты, возчики), из них 36 находились в состоянии алкогольного опьянения.</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02.02.2023 около 06.00 часов житель Чериковского района 1965 года рождения, управляя гужевой повозкой, двигался по ад 64 км «гр. РФ-Кричев-Ивацевичи» в темное время суток без фонарей, излучающих белый свет спереди и красный сзади, в результате чего автомобиль, двигавшийся в попутном направлении, совершил наезд на гужевую повозку. В данном ДТП к счастью люди не пострадали.</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lastRenderedPageBreak/>
        <w:t>Для того чтобы избежать ДТП, пешеходы должны двигаться по тротуарам, пешеходным или велосипедным дорожкам, а при их отсутствии по обочинам. В местах, где отсутствуют вышеуказанные элементы дороги, пешеходы могут двигаться по проезжей части навстречу потоку транспортных средств. В таких случаях пешеход должен идти как можно ближе к краю проезжей части.</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 xml:space="preserve">Пересекать проезжую часть дороги пешеходы должны по пешеходным переходам. В случае их отсутствия на перекрестках необходимо двигаться по линии тротуаров и обочин, убедившись, что выход на проезжую часть дороги безопасен. При отсутствии в пределах видимости обозначенных пешеходных переходов и перекрестков пешеход должен перейти проезжую часть дороги на участке, где она хорошо просматривается в обе стороны и по кратчайшей траектории. </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Особенно опасно пересекать дорогу в темное время суток или в условиях недостаточной видимости, поскольку пешеход видит автомобиль с включенными фарами, а водитель может не заметить его. Поэтому использование пешеходами световозвращающих элементов в темное время суток либо в условиях непогоды остается одним из действенных способов обезопасить себя на дороге.</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Не являются исключением и случаи, когда людей сбивают на пешеходных переходах, а ведь уступить дорогу пешеходу на пешеходном переходе – это обязанность водителя.</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Водитель должен прогнозировать дорожную обстановку. Подъезжая к пешеходным переходам, а также детским садам, школам – заранее снижать скорость движения, быть готовым к полной остановке своего автомобиля.</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В современных условиях движения на улицах и дорогах с насыщенными транспортными потоками очень важно взаимодействие водителей и велосипедистов. Кроме того, обязательным условием езды по улицам и дорогам является чёткое знание велосипедистом Правил дорожного движения и строгое выполнение их требований.</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 xml:space="preserve">Отдельное внимание следует уделить юным велосипедистам. Самостоятельно управлять велосипедом на дорогах им разрешено только с 14 лет. </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За нарушения ПДД предусмотрена административная ответственность. Нарушая правила проезда пешеходного перехода, водителю грозит штраф в размере от 1 до 5 базовых величин. За данное нарушение правил предусмотрена повторность.</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За нарушение правил пешеход или велосипедист привлекается к административной ответственности в виде штрафа, который составляет от 1 до 3 базовых величин. Те же действия, совершенные нетрезвым пешеходом, влекут наложение штрафа в размере до 5 базовых величин.</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Помните, что самый большой размер штрафа не соизмерим с человеческой жизнью! Берегите себя и своих близких, соблюдайте Правила дорожного движения.</w:t>
      </w:r>
    </w:p>
    <w:p w:rsidR="007D58C5" w:rsidRPr="007D58C5" w:rsidRDefault="007D58C5" w:rsidP="005651D9">
      <w:pPr>
        <w:spacing w:after="0"/>
        <w:ind w:firstLine="709"/>
        <w:jc w:val="both"/>
        <w:rPr>
          <w:rFonts w:ascii="Times New Roman" w:hAnsi="Times New Roman"/>
          <w:sz w:val="24"/>
          <w:szCs w:val="24"/>
          <w:shd w:val="clear" w:color="auto" w:fill="FFFFFF"/>
        </w:rPr>
      </w:pPr>
      <w:r w:rsidRPr="007D58C5">
        <w:rPr>
          <w:rFonts w:ascii="Times New Roman" w:hAnsi="Times New Roman"/>
          <w:sz w:val="24"/>
          <w:szCs w:val="24"/>
          <w:shd w:val="clear" w:color="auto" w:fill="FFFFFF"/>
        </w:rPr>
        <w:t>Госавтоинспекция призывает граждан не оставаться в стороне и сообщать по телефону 102 о фактах нахождения на дороге нетрезвых участников движения, поведение которых небезопасно. Возможно, именно Ваш звонок поможет избежать трагедии и спасет чью-то жизнь.</w:t>
      </w:r>
    </w:p>
    <w:p w:rsidR="007D58C5" w:rsidRPr="007D58C5" w:rsidRDefault="007D58C5" w:rsidP="005651D9">
      <w:pPr>
        <w:spacing w:after="0"/>
        <w:jc w:val="both"/>
        <w:rPr>
          <w:rFonts w:ascii="Times New Roman" w:hAnsi="Times New Roman"/>
          <w:sz w:val="24"/>
          <w:szCs w:val="24"/>
          <w:shd w:val="clear" w:color="auto" w:fill="FFFFFF"/>
        </w:rPr>
      </w:pPr>
    </w:p>
    <w:p w:rsidR="007D58C5" w:rsidRPr="007D58C5" w:rsidRDefault="007D58C5" w:rsidP="007D58C5">
      <w:pPr>
        <w:jc w:val="both"/>
        <w:rPr>
          <w:rFonts w:ascii="Times New Roman" w:hAnsi="Times New Roman"/>
          <w:sz w:val="24"/>
          <w:szCs w:val="24"/>
          <w:shd w:val="clear" w:color="auto" w:fill="FFFFFF"/>
        </w:rPr>
      </w:pPr>
    </w:p>
    <w:p w:rsidR="007D58C5" w:rsidRPr="007D58C5" w:rsidRDefault="007D58C5" w:rsidP="007D58C5">
      <w:pPr>
        <w:jc w:val="both"/>
        <w:rPr>
          <w:rFonts w:ascii="Times New Roman" w:hAnsi="Times New Roman"/>
          <w:sz w:val="24"/>
          <w:szCs w:val="24"/>
          <w:shd w:val="clear" w:color="auto" w:fill="FFFFFF"/>
        </w:rPr>
      </w:pPr>
    </w:p>
    <w:p w:rsidR="002E444C" w:rsidRPr="002E444C" w:rsidRDefault="002E444C" w:rsidP="002E444C">
      <w:pPr>
        <w:jc w:val="both"/>
        <w:rPr>
          <w:rFonts w:ascii="Times New Roman" w:hAnsi="Times New Roman"/>
          <w:sz w:val="24"/>
          <w:szCs w:val="24"/>
          <w:shd w:val="clear" w:color="auto" w:fill="FFFFFF"/>
        </w:rPr>
      </w:pPr>
    </w:p>
    <w:p w:rsidR="003C70B7" w:rsidRPr="002E444C" w:rsidRDefault="003C70B7" w:rsidP="003C70B7">
      <w:pPr>
        <w:spacing w:after="0" w:line="240" w:lineRule="auto"/>
        <w:ind w:right="-1" w:firstLine="709"/>
        <w:jc w:val="both"/>
        <w:rPr>
          <w:rFonts w:ascii="Times New Roman" w:hAnsi="Times New Roman"/>
          <w:iCs/>
          <w:sz w:val="24"/>
          <w:szCs w:val="24"/>
        </w:rPr>
      </w:pPr>
    </w:p>
    <w:sectPr w:rsidR="003C70B7" w:rsidRPr="002E444C" w:rsidSect="00B54503">
      <w:headerReference w:type="default" r:id="rId8"/>
      <w:pgSz w:w="11906" w:h="16838"/>
      <w:pgMar w:top="568" w:right="282" w:bottom="426" w:left="28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902" w:rsidRDefault="00D41902" w:rsidP="00B54503">
      <w:pPr>
        <w:spacing w:after="0" w:line="240" w:lineRule="auto"/>
      </w:pPr>
      <w:r>
        <w:separator/>
      </w:r>
    </w:p>
  </w:endnote>
  <w:endnote w:type="continuationSeparator" w:id="1">
    <w:p w:rsidR="00D41902" w:rsidRDefault="00D41902" w:rsidP="00B54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902" w:rsidRDefault="00D41902" w:rsidP="00B54503">
      <w:pPr>
        <w:spacing w:after="0" w:line="240" w:lineRule="auto"/>
      </w:pPr>
      <w:r>
        <w:separator/>
      </w:r>
    </w:p>
  </w:footnote>
  <w:footnote w:type="continuationSeparator" w:id="1">
    <w:p w:rsidR="00D41902" w:rsidRDefault="00D41902" w:rsidP="00B54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444"/>
      <w:docPartObj>
        <w:docPartGallery w:val="Page Numbers (Top of Page)"/>
        <w:docPartUnique/>
      </w:docPartObj>
    </w:sdtPr>
    <w:sdtEndPr>
      <w:rPr>
        <w:rFonts w:ascii="Times New Roman" w:hAnsi="Times New Roman"/>
        <w:sz w:val="24"/>
        <w:szCs w:val="24"/>
      </w:rPr>
    </w:sdtEndPr>
    <w:sdtContent>
      <w:p w:rsidR="00B54503" w:rsidRPr="00B54503" w:rsidRDefault="00856CF5" w:rsidP="00B54503">
        <w:pPr>
          <w:pStyle w:val="a5"/>
          <w:jc w:val="center"/>
          <w:rPr>
            <w:rFonts w:ascii="Times New Roman" w:hAnsi="Times New Roman"/>
            <w:sz w:val="24"/>
            <w:szCs w:val="24"/>
          </w:rPr>
        </w:pPr>
        <w:r w:rsidRPr="00B54503">
          <w:rPr>
            <w:rFonts w:ascii="Times New Roman" w:hAnsi="Times New Roman"/>
            <w:sz w:val="24"/>
            <w:szCs w:val="24"/>
          </w:rPr>
          <w:fldChar w:fldCharType="begin"/>
        </w:r>
        <w:r w:rsidR="00B54503" w:rsidRPr="00B54503">
          <w:rPr>
            <w:rFonts w:ascii="Times New Roman" w:hAnsi="Times New Roman"/>
            <w:sz w:val="24"/>
            <w:szCs w:val="24"/>
          </w:rPr>
          <w:instrText xml:space="preserve"> PAGE   \* MERGEFORMAT </w:instrText>
        </w:r>
        <w:r w:rsidRPr="00B54503">
          <w:rPr>
            <w:rFonts w:ascii="Times New Roman" w:hAnsi="Times New Roman"/>
            <w:sz w:val="24"/>
            <w:szCs w:val="24"/>
          </w:rPr>
          <w:fldChar w:fldCharType="separate"/>
        </w:r>
        <w:r w:rsidR="007C6BE3">
          <w:rPr>
            <w:rFonts w:ascii="Times New Roman" w:hAnsi="Times New Roman"/>
            <w:noProof/>
            <w:sz w:val="24"/>
            <w:szCs w:val="24"/>
          </w:rPr>
          <w:t>4</w:t>
        </w:r>
        <w:r w:rsidRPr="00B54503">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A6A5A"/>
    <w:multiLevelType w:val="hybridMultilevel"/>
    <w:tmpl w:val="F8B25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8E5ED4"/>
    <w:multiLevelType w:val="hybridMultilevel"/>
    <w:tmpl w:val="CF3250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2B0634"/>
    <w:multiLevelType w:val="multilevel"/>
    <w:tmpl w:val="5C96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AD72A2"/>
    <w:multiLevelType w:val="hybridMultilevel"/>
    <w:tmpl w:val="C062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54503"/>
    <w:rsid w:val="001D22DC"/>
    <w:rsid w:val="002E444C"/>
    <w:rsid w:val="003C70B7"/>
    <w:rsid w:val="003D137C"/>
    <w:rsid w:val="005651D9"/>
    <w:rsid w:val="005E5582"/>
    <w:rsid w:val="007C6BE3"/>
    <w:rsid w:val="007D58C5"/>
    <w:rsid w:val="00856CF5"/>
    <w:rsid w:val="008D10EC"/>
    <w:rsid w:val="008E28EA"/>
    <w:rsid w:val="0094225E"/>
    <w:rsid w:val="00B54503"/>
    <w:rsid w:val="00B65E1B"/>
    <w:rsid w:val="00D41902"/>
    <w:rsid w:val="00DD093C"/>
    <w:rsid w:val="00F87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0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503"/>
    <w:pPr>
      <w:ind w:left="720"/>
      <w:contextualSpacing/>
    </w:pPr>
  </w:style>
  <w:style w:type="character" w:styleId="a4">
    <w:name w:val="Hyperlink"/>
    <w:basedOn w:val="a0"/>
    <w:uiPriority w:val="99"/>
    <w:unhideWhenUsed/>
    <w:rsid w:val="00B54503"/>
    <w:rPr>
      <w:color w:val="0000FF" w:themeColor="hyperlink"/>
      <w:u w:val="single"/>
    </w:rPr>
  </w:style>
  <w:style w:type="paragraph" w:styleId="a5">
    <w:name w:val="header"/>
    <w:basedOn w:val="a"/>
    <w:link w:val="a6"/>
    <w:uiPriority w:val="99"/>
    <w:unhideWhenUsed/>
    <w:rsid w:val="00B545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4503"/>
    <w:rPr>
      <w:rFonts w:ascii="Calibri" w:eastAsia="Calibri" w:hAnsi="Calibri" w:cs="Times New Roman"/>
    </w:rPr>
  </w:style>
  <w:style w:type="paragraph" w:styleId="a7">
    <w:name w:val="footer"/>
    <w:basedOn w:val="a"/>
    <w:link w:val="a8"/>
    <w:uiPriority w:val="99"/>
    <w:semiHidden/>
    <w:unhideWhenUsed/>
    <w:rsid w:val="00B545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54503"/>
    <w:rPr>
      <w:rFonts w:ascii="Calibri" w:eastAsia="Calibri" w:hAnsi="Calibri" w:cs="Times New Roman"/>
    </w:rPr>
  </w:style>
  <w:style w:type="paragraph" w:styleId="a9">
    <w:name w:val="Normal (Web)"/>
    <w:basedOn w:val="a"/>
    <w:uiPriority w:val="99"/>
    <w:unhideWhenUsed/>
    <w:rsid w:val="002E444C"/>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2E444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D330-6152-4425-ABA7-33FA17C3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12398</Words>
  <Characters>70674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3</cp:revision>
  <dcterms:created xsi:type="dcterms:W3CDTF">2023-02-13T05:16:00Z</dcterms:created>
  <dcterms:modified xsi:type="dcterms:W3CDTF">2023-02-13T09:55:00Z</dcterms:modified>
</cp:coreProperties>
</file>