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2C" w:rsidRDefault="00CE6D2C" w:rsidP="00CE6D2C">
      <w:pPr>
        <w:pStyle w:val="a3"/>
        <w:jc w:val="both"/>
      </w:pPr>
      <w:r>
        <w:rPr>
          <w:rStyle w:val="a4"/>
        </w:rPr>
        <w:t>Изменения нормативной базы поддержки экспорта (Указ № 534, Указ № 261)</w:t>
      </w:r>
    </w:p>
    <w:p w:rsidR="00CE6D2C" w:rsidRDefault="00CE6D2C" w:rsidP="00CE6D2C">
      <w:pPr>
        <w:pStyle w:val="a3"/>
        <w:jc w:val="both"/>
      </w:pPr>
      <w:r>
        <w:t xml:space="preserve">В целях дальнейшего совершенствования комплексной системы стимулирования экспорта </w:t>
      </w:r>
      <w:r>
        <w:rPr>
          <w:rStyle w:val="a4"/>
        </w:rPr>
        <w:t>Указом Президента Республики Беларусь</w:t>
      </w:r>
      <w:r>
        <w:rPr>
          <w:b/>
          <w:bCs/>
        </w:rPr>
        <w:br/>
      </w:r>
      <w:r>
        <w:rPr>
          <w:rStyle w:val="a4"/>
        </w:rPr>
        <w:t xml:space="preserve">от 4 февраля 2021 г. № 39 «Об изменении указов Президента Республики Беларусь» </w:t>
      </w:r>
      <w:r>
        <w:t xml:space="preserve">внесены изменения </w:t>
      </w:r>
      <w:proofErr w:type="gramStart"/>
      <w:r>
        <w:t>в</w:t>
      </w:r>
      <w:proofErr w:type="gramEnd"/>
      <w:r>
        <w:t>:</w:t>
      </w:r>
    </w:p>
    <w:p w:rsidR="00CE6D2C" w:rsidRDefault="00CE6D2C" w:rsidP="00CE6D2C">
      <w:pPr>
        <w:pStyle w:val="a3"/>
        <w:jc w:val="both"/>
      </w:pPr>
      <w:r>
        <w:t xml:space="preserve">Указ Президента Республики Беларусь от 25 августа 2006 г. </w:t>
      </w:r>
      <w:r>
        <w:rPr>
          <w:rStyle w:val="a4"/>
        </w:rPr>
        <w:t>№ 534</w:t>
      </w:r>
      <w:r>
        <w:t xml:space="preserve"> «О содействии развитию экспорта товаров (работ, услуг)» (далее – Указ № 534);</w:t>
      </w:r>
    </w:p>
    <w:p w:rsidR="00CE6D2C" w:rsidRDefault="00CE6D2C" w:rsidP="00CE6D2C">
      <w:pPr>
        <w:pStyle w:val="a3"/>
        <w:jc w:val="both"/>
      </w:pPr>
      <w:r>
        <w:t xml:space="preserve">Указ Президента Республики Беларусь от 21 июня 2011 г. </w:t>
      </w:r>
      <w:r>
        <w:rPr>
          <w:rStyle w:val="a4"/>
        </w:rPr>
        <w:t>№ 261</w:t>
      </w:r>
      <w:r>
        <w:t xml:space="preserve"> «О создании открытого акционерного общества «Банк развития Республики Беларусь» (далее – Указ № 261).</w:t>
      </w:r>
    </w:p>
    <w:p w:rsidR="00CE6D2C" w:rsidRDefault="00CE6D2C" w:rsidP="00CE6D2C">
      <w:pPr>
        <w:pStyle w:val="a3"/>
        <w:jc w:val="both"/>
      </w:pPr>
      <w:r>
        <w:rPr>
          <w:rStyle w:val="a4"/>
        </w:rPr>
        <w:t>Одно из ключевых изменений</w:t>
      </w:r>
      <w:r>
        <w:t xml:space="preserve"> (Указ № 261) в механизмах экспортного кредитования – </w:t>
      </w:r>
      <w:r>
        <w:rPr>
          <w:rStyle w:val="a4"/>
        </w:rPr>
        <w:t>отмена минимальной суммы экспортного контракта</w:t>
      </w:r>
      <w:r>
        <w:t xml:space="preserve"> </w:t>
      </w:r>
      <w:r>
        <w:rPr>
          <w:rStyle w:val="a5"/>
        </w:rPr>
        <w:t>(ранее 200 тыс. долларов США)</w:t>
      </w:r>
      <w:r>
        <w:t>, что позволит расширить возможности субъектов малого и среднего бизнеса при реализации продукции на экспорт.</w:t>
      </w:r>
    </w:p>
    <w:p w:rsidR="00CE6D2C" w:rsidRDefault="00CE6D2C" w:rsidP="00CE6D2C">
      <w:pPr>
        <w:pStyle w:val="a3"/>
        <w:jc w:val="both"/>
      </w:pPr>
      <w:r>
        <w:t xml:space="preserve">Основные новации </w:t>
      </w:r>
      <w:r>
        <w:rPr>
          <w:rStyle w:val="a4"/>
        </w:rPr>
        <w:t>Указа № 534:</w:t>
      </w:r>
    </w:p>
    <w:p w:rsidR="00CE6D2C" w:rsidRDefault="00CE6D2C" w:rsidP="00CE6D2C">
      <w:pPr>
        <w:pStyle w:val="a3"/>
        <w:jc w:val="both"/>
      </w:pPr>
      <w:r>
        <w:rPr>
          <w:rStyle w:val="a4"/>
        </w:rPr>
        <w:t>1. Расширен перечень банков.</w:t>
      </w:r>
      <w:r>
        <w:t xml:space="preserve"> Кроме Банка развития правом кредитования экспорта </w:t>
      </w:r>
      <w:r>
        <w:rPr>
          <w:rStyle w:val="a4"/>
        </w:rPr>
        <w:t>наделены коммерческие банки,</w:t>
      </w:r>
      <w:r>
        <w:t xml:space="preserve"> по перечню, утверждаемому Советом Министров.</w:t>
      </w:r>
    </w:p>
    <w:p w:rsidR="00CE6D2C" w:rsidRDefault="00CE6D2C" w:rsidP="00CE6D2C">
      <w:pPr>
        <w:pStyle w:val="a3"/>
        <w:jc w:val="both"/>
      </w:pPr>
      <w:r>
        <w:rPr>
          <w:rStyle w:val="a4"/>
        </w:rPr>
        <w:t>2.</w:t>
      </w:r>
      <w:r>
        <w:t> </w:t>
      </w:r>
      <w:r>
        <w:rPr>
          <w:rStyle w:val="a4"/>
        </w:rPr>
        <w:t>Расширен перечень страховых организаций</w:t>
      </w:r>
      <w:r>
        <w:t>, с правом осуществления страхования экспортных рисков, без привлечения средств бюджета для осуществления страховых выплат. Страхованием экспортных рисков кроме БРУПЭИС «</w:t>
      </w:r>
      <w:proofErr w:type="spellStart"/>
      <w:r>
        <w:t>Белэксимгарант</w:t>
      </w:r>
      <w:proofErr w:type="spellEnd"/>
      <w:r>
        <w:t xml:space="preserve">» наделены </w:t>
      </w:r>
      <w:r>
        <w:rPr>
          <w:rStyle w:val="a4"/>
        </w:rPr>
        <w:t xml:space="preserve">страховые </w:t>
      </w:r>
      <w:proofErr w:type="gramStart"/>
      <w:r>
        <w:rPr>
          <w:rStyle w:val="a4"/>
        </w:rPr>
        <w:t>организации</w:t>
      </w:r>
      <w:proofErr w:type="gramEnd"/>
      <w:r>
        <w:t xml:space="preserve"> </w:t>
      </w:r>
      <w:r>
        <w:rPr>
          <w:rStyle w:val="a4"/>
        </w:rPr>
        <w:t>собственный капитал</w:t>
      </w:r>
      <w:r>
        <w:t xml:space="preserve"> которых составляет </w:t>
      </w:r>
      <w:r>
        <w:rPr>
          <w:rStyle w:val="a4"/>
        </w:rPr>
        <w:t>не менее 25 млн. белорусских рублей.</w:t>
      </w:r>
    </w:p>
    <w:p w:rsidR="00CE6D2C" w:rsidRDefault="00CE6D2C" w:rsidP="00CE6D2C">
      <w:pPr>
        <w:pStyle w:val="a3"/>
        <w:jc w:val="both"/>
      </w:pPr>
      <w:r>
        <w:rPr>
          <w:rStyle w:val="a4"/>
        </w:rPr>
        <w:t xml:space="preserve">3. Кредитование резидентов. </w:t>
      </w:r>
      <w:r>
        <w:t xml:space="preserve">Предусмотрена возможность Банком развития, другими банками, предоставления в 2021-2022 гг. кредитов резидентам, для производства продукции с целью её дальнейшей реализации на экспорт. Это позволит обеспечить белорусских производителей оборотными средствами для производства экспортной продукции. При этом компенсация потерь Банку развития, банкам от предоставления экспортных кредитов производится </w:t>
      </w:r>
      <w:r>
        <w:rPr>
          <w:rStyle w:val="a4"/>
        </w:rPr>
        <w:t>только после подтверждения факта экспорта товаров.</w:t>
      </w:r>
    </w:p>
    <w:p w:rsidR="00CE6D2C" w:rsidRDefault="00CE6D2C" w:rsidP="00CE6D2C">
      <w:pPr>
        <w:pStyle w:val="a3"/>
        <w:jc w:val="both"/>
      </w:pPr>
      <w:r>
        <w:rPr>
          <w:rStyle w:val="a4"/>
        </w:rPr>
        <w:t>4. </w:t>
      </w:r>
      <w:r>
        <w:t xml:space="preserve">Банку развития предоставлена возможность </w:t>
      </w:r>
      <w:r>
        <w:rPr>
          <w:rStyle w:val="a4"/>
        </w:rPr>
        <w:t>выдачи экспортных кредитов</w:t>
      </w:r>
      <w:r>
        <w:t xml:space="preserve"> для финансирования приобретения в зарубежных странах товаров, произведенных в Республике Беларусь, </w:t>
      </w:r>
      <w:r>
        <w:rPr>
          <w:rStyle w:val="a4"/>
        </w:rPr>
        <w:t>вне зависимости от количества поставщиков в цепочке продаж.</w:t>
      </w:r>
      <w:r>
        <w:t xml:space="preserve"> Это позволит охватить максимально возможный круг потенциальных покупателей белорусских товаров, в том числе предоставлять экспортные кредиты непосредственно конечным покупателям. При этом </w:t>
      </w:r>
      <w:r>
        <w:rPr>
          <w:rStyle w:val="a4"/>
        </w:rPr>
        <w:t>сумма экспортного кредита привязана к стоимости белорусского экспортного контракта.</w:t>
      </w:r>
    </w:p>
    <w:p w:rsidR="00CE6D2C" w:rsidRDefault="00CE6D2C" w:rsidP="00CE6D2C">
      <w:pPr>
        <w:pStyle w:val="a3"/>
        <w:jc w:val="both"/>
      </w:pPr>
      <w:proofErr w:type="spellStart"/>
      <w:r>
        <w:rPr>
          <w:rStyle w:val="a5"/>
          <w:b/>
          <w:bCs/>
        </w:rPr>
        <w:t>Справочно</w:t>
      </w:r>
      <w:proofErr w:type="spellEnd"/>
      <w:r>
        <w:rPr>
          <w:rStyle w:val="a5"/>
          <w:b/>
          <w:bCs/>
        </w:rPr>
        <w:t>:</w:t>
      </w:r>
    </w:p>
    <w:p w:rsidR="00CE6D2C" w:rsidRDefault="00CE6D2C" w:rsidP="00CE6D2C">
      <w:pPr>
        <w:pStyle w:val="a3"/>
        <w:jc w:val="both"/>
      </w:pPr>
      <w:r>
        <w:rPr>
          <w:rStyle w:val="a5"/>
        </w:rPr>
        <w:t xml:space="preserve">При этом в рамках </w:t>
      </w:r>
      <w:r>
        <w:rPr>
          <w:rStyle w:val="a4"/>
          <w:i/>
          <w:iCs/>
        </w:rPr>
        <w:t xml:space="preserve">кредитования </w:t>
      </w:r>
      <w:r>
        <w:rPr>
          <w:rStyle w:val="a4"/>
          <w:i/>
          <w:iCs/>
          <w:u w:val="single"/>
        </w:rPr>
        <w:t>не допускается:</w:t>
      </w:r>
    </w:p>
    <w:p w:rsidR="00CE6D2C" w:rsidRDefault="00CE6D2C" w:rsidP="00CE6D2C">
      <w:pPr>
        <w:pStyle w:val="a3"/>
        <w:jc w:val="both"/>
      </w:pPr>
      <w:r>
        <w:rPr>
          <w:rStyle w:val="a5"/>
          <w:b/>
          <w:bCs/>
        </w:rPr>
        <w:t>выдача двух и более экспортных кредитов</w:t>
      </w:r>
      <w:r>
        <w:rPr>
          <w:rStyle w:val="a5"/>
        </w:rPr>
        <w:t xml:space="preserve">, осуществления два и более финансирования под уступку денежного требования (факторинга), </w:t>
      </w:r>
      <w:proofErr w:type="spellStart"/>
      <w:r>
        <w:rPr>
          <w:rStyle w:val="a5"/>
        </w:rPr>
        <w:t>постфинансирования</w:t>
      </w:r>
      <w:proofErr w:type="spellEnd"/>
      <w:r>
        <w:rPr>
          <w:rStyle w:val="a5"/>
        </w:rPr>
        <w:t xml:space="preserve"> и дисконтирования аккредитивов, связанных с финансированием производства или оплаты одних и тех же товаров или услуг;</w:t>
      </w:r>
    </w:p>
    <w:p w:rsidR="00CE6D2C" w:rsidRDefault="00CE6D2C" w:rsidP="00CE6D2C">
      <w:pPr>
        <w:pStyle w:val="a3"/>
        <w:jc w:val="both"/>
      </w:pPr>
      <w:r>
        <w:rPr>
          <w:rStyle w:val="a5"/>
          <w:b/>
          <w:bCs/>
        </w:rPr>
        <w:lastRenderedPageBreak/>
        <w:t xml:space="preserve">получения кредита </w:t>
      </w:r>
      <w:r>
        <w:rPr>
          <w:rStyle w:val="a5"/>
        </w:rPr>
        <w:t xml:space="preserve">на условиях </w:t>
      </w:r>
      <w:r>
        <w:rPr>
          <w:rStyle w:val="a4"/>
          <w:i/>
          <w:iCs/>
        </w:rPr>
        <w:t>Указа</w:t>
      </w:r>
      <w:r>
        <w:rPr>
          <w:rStyle w:val="a5"/>
        </w:rPr>
        <w:t xml:space="preserve"> Президента Республики Беларусь от 24.02.2009 </w:t>
      </w:r>
      <w:r>
        <w:rPr>
          <w:rStyle w:val="a4"/>
          <w:i/>
          <w:iCs/>
        </w:rPr>
        <w:t>№ 466</w:t>
      </w:r>
      <w:r>
        <w:rPr>
          <w:rStyle w:val="a5"/>
        </w:rPr>
        <w:t xml:space="preserve"> «О некоторых мерах по реализации товаров, произведенных в Республике Беларусь».</w:t>
      </w:r>
    </w:p>
    <w:p w:rsidR="00CE6D2C" w:rsidRDefault="00CE6D2C" w:rsidP="00CE6D2C">
      <w:pPr>
        <w:pStyle w:val="a3"/>
        <w:jc w:val="both"/>
      </w:pPr>
      <w:r>
        <w:rPr>
          <w:rStyle w:val="a4"/>
        </w:rPr>
        <w:t xml:space="preserve">5. Расширена линейка предоставляемых экспортных финансовых инструментов. </w:t>
      </w:r>
      <w:r>
        <w:t xml:space="preserve">Банку развития предоставлено право осуществления межбанковского экспортного кредитования путем </w:t>
      </w:r>
      <w:proofErr w:type="spellStart"/>
      <w:r>
        <w:t>постфинансирования</w:t>
      </w:r>
      <w:proofErr w:type="spellEnd"/>
      <w:r>
        <w:t xml:space="preserve"> аккредитивов, а также дисконтирование сумм по аккредитивам, выпущенным иностранными банками для финансирования приобретения (оплаты) белорусских товаров, работ, услуг.</w:t>
      </w:r>
    </w:p>
    <w:p w:rsidR="00CE6D2C" w:rsidRDefault="00CE6D2C" w:rsidP="00CE6D2C">
      <w:pPr>
        <w:pStyle w:val="a3"/>
        <w:jc w:val="both"/>
      </w:pPr>
      <w:r>
        <w:t xml:space="preserve">Банк развития наряду с банками и небанковскими кредитно-финансовыми организациями в 2021-2022 гг. наделены </w:t>
      </w:r>
      <w:r>
        <w:rPr>
          <w:rStyle w:val="a4"/>
        </w:rPr>
        <w:t xml:space="preserve">правом </w:t>
      </w:r>
      <w:proofErr w:type="gramStart"/>
      <w:r>
        <w:rPr>
          <w:rStyle w:val="a4"/>
        </w:rPr>
        <w:t>осуществлять</w:t>
      </w:r>
      <w:proofErr w:type="gramEnd"/>
      <w:r>
        <w:rPr>
          <w:rStyle w:val="a4"/>
        </w:rPr>
        <w:t xml:space="preserve"> финансирование резидентов </w:t>
      </w:r>
      <w:r>
        <w:t>(кредиторов) под уступку денежного требования (факторинг) при реализации экспортных контрактов на условиях, ранее определенных Указом № 534.</w:t>
      </w:r>
    </w:p>
    <w:p w:rsidR="00CE6D2C" w:rsidRDefault="00CE6D2C" w:rsidP="00CE6D2C">
      <w:pPr>
        <w:pStyle w:val="a3"/>
        <w:jc w:val="both"/>
      </w:pPr>
      <w:r>
        <w:rPr>
          <w:rStyle w:val="a4"/>
        </w:rPr>
        <w:t xml:space="preserve">6. Расширен перечень видов страхования экспортных рисков </w:t>
      </w:r>
      <w:r>
        <w:t>с поддержкой государства следующими видами:</w:t>
      </w:r>
    </w:p>
    <w:p w:rsidR="00CE6D2C" w:rsidRDefault="00CE6D2C" w:rsidP="00CE6D2C">
      <w:pPr>
        <w:pStyle w:val="a3"/>
        <w:jc w:val="both"/>
      </w:pPr>
      <w:proofErr w:type="gramStart"/>
      <w:r>
        <w:t xml:space="preserve">добровольное страхование риска </w:t>
      </w:r>
      <w:proofErr w:type="spellStart"/>
      <w:r>
        <w:t>невозврата</w:t>
      </w:r>
      <w:proofErr w:type="spellEnd"/>
      <w:r>
        <w:t xml:space="preserve"> (непогашения) и (или) просрочки возврата (погашения) </w:t>
      </w:r>
      <w:r>
        <w:rPr>
          <w:rStyle w:val="a4"/>
        </w:rPr>
        <w:t>кредита, предоставленного резиденту</w:t>
      </w:r>
      <w:r>
        <w:t>;</w:t>
      </w:r>
      <w:proofErr w:type="gramEnd"/>
    </w:p>
    <w:p w:rsidR="00CE6D2C" w:rsidRDefault="00CE6D2C" w:rsidP="00CE6D2C">
      <w:pPr>
        <w:pStyle w:val="a3"/>
        <w:jc w:val="both"/>
      </w:pPr>
      <w:r>
        <w:t xml:space="preserve">добровольное страхование риска </w:t>
      </w:r>
      <w:proofErr w:type="spellStart"/>
      <w:r>
        <w:t>невозврата</w:t>
      </w:r>
      <w:proofErr w:type="spellEnd"/>
      <w:r>
        <w:t xml:space="preserve"> (непогашения) и (или) просрочки возврата (погашения) кредита, выданного иностранным банком;</w:t>
      </w:r>
    </w:p>
    <w:p w:rsidR="00CE6D2C" w:rsidRDefault="00CE6D2C" w:rsidP="00CE6D2C">
      <w:pPr>
        <w:pStyle w:val="a3"/>
        <w:jc w:val="both"/>
      </w:pPr>
      <w:r>
        <w:t>добровольное страхование аккредитивов (в том числе с дисконтированием кредита), открытых иностранными банками;</w:t>
      </w:r>
    </w:p>
    <w:p w:rsidR="00CE6D2C" w:rsidRDefault="00CE6D2C" w:rsidP="00CE6D2C">
      <w:pPr>
        <w:pStyle w:val="a3"/>
        <w:jc w:val="both"/>
      </w:pPr>
      <w:r>
        <w:t>добровольное страхование гражданской ответственности резидента по экспортному контракту.</w:t>
      </w:r>
    </w:p>
    <w:p w:rsidR="00CE6D2C" w:rsidRDefault="00CE6D2C" w:rsidP="00CE6D2C">
      <w:pPr>
        <w:pStyle w:val="a3"/>
        <w:jc w:val="both"/>
      </w:pPr>
      <w:r>
        <w:rPr>
          <w:rStyle w:val="a4"/>
        </w:rPr>
        <w:t>7. </w:t>
      </w:r>
      <w:r>
        <w:t xml:space="preserve">В связи с тем, что страхование экспортных рисков с поддержкой государства будет осуществлять не один, а несколько страховщиков </w:t>
      </w:r>
      <w:r>
        <w:rPr>
          <w:rStyle w:val="a4"/>
        </w:rPr>
        <w:t>внесены изменения в Положение о страховании (перестраховании) экспортных рисков.</w:t>
      </w:r>
    </w:p>
    <w:p w:rsidR="00CE6D2C" w:rsidRDefault="00CE6D2C" w:rsidP="00CE6D2C">
      <w:pPr>
        <w:pStyle w:val="a3"/>
        <w:jc w:val="both"/>
      </w:pPr>
      <w:r>
        <w:t xml:space="preserve">В частности, базовые страховые тарифы по страхованию экспортных рисков с поддержкой государства устанавливаются </w:t>
      </w:r>
      <w:proofErr w:type="spellStart"/>
      <w:r>
        <w:t>Белэксимгарантом</w:t>
      </w:r>
      <w:proofErr w:type="spellEnd"/>
      <w:r>
        <w:t xml:space="preserve"> или страховщиком по согласованию с Министерством финансов с учетом уровня политического риска страны. Дифференциация стран по уровню политического риска производится </w:t>
      </w:r>
      <w:proofErr w:type="spellStart"/>
      <w:r>
        <w:t>Белэкимгарантом</w:t>
      </w:r>
      <w:proofErr w:type="spellEnd"/>
      <w:r>
        <w:t xml:space="preserve"> по согласованию с МИД, и в дальнейшем предоставляется страховщикам.</w:t>
      </w:r>
    </w:p>
    <w:p w:rsidR="00CE6D2C" w:rsidRDefault="00CE6D2C" w:rsidP="00CE6D2C">
      <w:pPr>
        <w:pStyle w:val="a3"/>
        <w:jc w:val="both"/>
      </w:pPr>
      <w:proofErr w:type="gramStart"/>
      <w:r>
        <w:t xml:space="preserve">Договор страхования экспортных рисков с поддержкой государства заключается сторонами по решению Правительства Республики Беларусь, если ответственность по нему и (или) суммарный объем ответственности по действующим и (или) заключаемым с одним контрагентом договорам страхования: </w:t>
      </w:r>
      <w:r>
        <w:rPr>
          <w:rStyle w:val="a4"/>
        </w:rPr>
        <w:t>превысит 10 процентов</w:t>
      </w:r>
      <w:r>
        <w:t xml:space="preserve"> собственного капитала </w:t>
      </w:r>
      <w:proofErr w:type="spellStart"/>
      <w:r>
        <w:t>Белэксимгаранта</w:t>
      </w:r>
      <w:proofErr w:type="spellEnd"/>
      <w:r>
        <w:t xml:space="preserve">, рассчитанного в соответствии с законодательством или </w:t>
      </w:r>
      <w:r>
        <w:rPr>
          <w:rStyle w:val="a4"/>
        </w:rPr>
        <w:t>превысит 20 процентов</w:t>
      </w:r>
      <w:r>
        <w:t xml:space="preserve"> собственного капитала </w:t>
      </w:r>
      <w:proofErr w:type="spellStart"/>
      <w:r>
        <w:t>Белэксимгаранта</w:t>
      </w:r>
      <w:proofErr w:type="spellEnd"/>
      <w:r>
        <w:t xml:space="preserve">, </w:t>
      </w:r>
      <w:r>
        <w:rPr>
          <w:rStyle w:val="a4"/>
        </w:rPr>
        <w:t>в случае если контрагент страхователя относится к международным финансовым</w:t>
      </w:r>
      <w:proofErr w:type="gramEnd"/>
      <w:r>
        <w:rPr>
          <w:rStyle w:val="a4"/>
        </w:rPr>
        <w:t xml:space="preserve"> организациям или иностранным банкам имеющим долгосрочные рейтинги (от ААА до </w:t>
      </w:r>
      <w:proofErr w:type="gramStart"/>
      <w:r>
        <w:rPr>
          <w:rStyle w:val="a4"/>
        </w:rPr>
        <w:t>А-</w:t>
      </w:r>
      <w:proofErr w:type="gramEnd"/>
      <w:r>
        <w:rPr>
          <w:rStyle w:val="a4"/>
        </w:rPr>
        <w:t xml:space="preserve"> (А3).</w:t>
      </w:r>
    </w:p>
    <w:p w:rsidR="00CE6D2C" w:rsidRDefault="00CE6D2C" w:rsidP="00CE6D2C">
      <w:pPr>
        <w:pStyle w:val="a3"/>
        <w:jc w:val="both"/>
      </w:pPr>
      <w:r>
        <w:rPr>
          <w:rStyle w:val="a4"/>
        </w:rPr>
        <w:t>8.</w:t>
      </w:r>
      <w:r>
        <w:t xml:space="preserve"> Предусмотрена возможность </w:t>
      </w:r>
      <w:r>
        <w:rPr>
          <w:rStyle w:val="a4"/>
        </w:rPr>
        <w:t xml:space="preserve">обращения страховщика за бюджетной ссудой </w:t>
      </w:r>
      <w:r>
        <w:t>при выплате страхового возмещения не только по договорам страхования, но и по договорам перестрахования экспортных рисков с поддержкой государства.</w:t>
      </w:r>
    </w:p>
    <w:p w:rsidR="00CE6D2C" w:rsidRDefault="00CE6D2C" w:rsidP="00CE6D2C">
      <w:pPr>
        <w:pStyle w:val="a3"/>
        <w:jc w:val="both"/>
      </w:pPr>
      <w:r>
        <w:t>Бюджетная ссуда предоставляется на срок до 3 лет, срок ее возврата продлению не подлежит.</w:t>
      </w:r>
    </w:p>
    <w:p w:rsidR="00CE6D2C" w:rsidRDefault="00CE6D2C" w:rsidP="00CE6D2C">
      <w:pPr>
        <w:pStyle w:val="a3"/>
        <w:jc w:val="both"/>
      </w:pPr>
      <w:proofErr w:type="spellStart"/>
      <w:r>
        <w:rPr>
          <w:rStyle w:val="a5"/>
          <w:b/>
          <w:bCs/>
        </w:rPr>
        <w:lastRenderedPageBreak/>
        <w:t>Справочно</w:t>
      </w:r>
      <w:proofErr w:type="spellEnd"/>
      <w:r>
        <w:rPr>
          <w:rStyle w:val="a5"/>
          <w:b/>
          <w:bCs/>
        </w:rPr>
        <w:t>:</w:t>
      </w:r>
    </w:p>
    <w:p w:rsidR="00CE6D2C" w:rsidRDefault="00CE6D2C" w:rsidP="00CE6D2C">
      <w:pPr>
        <w:pStyle w:val="a3"/>
        <w:jc w:val="both"/>
      </w:pPr>
      <w:r>
        <w:rPr>
          <w:rStyle w:val="a5"/>
        </w:rPr>
        <w:t>Принятие данной нормы позволит:</w:t>
      </w:r>
    </w:p>
    <w:p w:rsidR="00CE6D2C" w:rsidRDefault="00CE6D2C" w:rsidP="00CE6D2C">
      <w:pPr>
        <w:pStyle w:val="a3"/>
        <w:jc w:val="both"/>
      </w:pPr>
      <w:r>
        <w:rPr>
          <w:rStyle w:val="a5"/>
        </w:rPr>
        <w:t>диверсифицировать риски;</w:t>
      </w:r>
    </w:p>
    <w:p w:rsidR="00CE6D2C" w:rsidRDefault="00CE6D2C" w:rsidP="00CE6D2C">
      <w:pPr>
        <w:pStyle w:val="a3"/>
        <w:jc w:val="both"/>
      </w:pPr>
      <w:r>
        <w:rPr>
          <w:rStyle w:val="a5"/>
        </w:rPr>
        <w:t>получать синергетический эффект в урегулировании убытков и реализации права суброгации по совместным проектам;</w:t>
      </w:r>
    </w:p>
    <w:p w:rsidR="00CE6D2C" w:rsidRDefault="00CE6D2C" w:rsidP="00CE6D2C">
      <w:pPr>
        <w:pStyle w:val="a3"/>
        <w:jc w:val="both"/>
      </w:pPr>
      <w:r>
        <w:rPr>
          <w:rStyle w:val="a5"/>
        </w:rPr>
        <w:t xml:space="preserve">использовать инструмент перестрахования в качестве альтернативы государственной гарантии при привлечении зарубежных кредитов под страховое обеспечение зарубежного </w:t>
      </w:r>
      <w:proofErr w:type="spellStart"/>
      <w:proofErr w:type="gramStart"/>
      <w:r>
        <w:rPr>
          <w:rStyle w:val="a5"/>
        </w:rPr>
        <w:t>экспортного-кредитного</w:t>
      </w:r>
      <w:proofErr w:type="spellEnd"/>
      <w:proofErr w:type="gramEnd"/>
      <w:r>
        <w:rPr>
          <w:rStyle w:val="a5"/>
        </w:rPr>
        <w:t xml:space="preserve"> агентства.</w:t>
      </w:r>
    </w:p>
    <w:p w:rsidR="00CE6D2C" w:rsidRDefault="00CE6D2C" w:rsidP="00CE6D2C">
      <w:pPr>
        <w:pStyle w:val="a3"/>
        <w:jc w:val="both"/>
      </w:pPr>
      <w:r>
        <w:rPr>
          <w:rStyle w:val="a4"/>
        </w:rPr>
        <w:t>9.</w:t>
      </w:r>
      <w:r>
        <w:t> </w:t>
      </w:r>
      <w:r>
        <w:rPr>
          <w:rStyle w:val="a4"/>
        </w:rPr>
        <w:t xml:space="preserve">Конкретизированы, а также введены новые термины, </w:t>
      </w:r>
      <w:r>
        <w:t>учитывающие внесенные изменения в указ.</w:t>
      </w:r>
    </w:p>
    <w:p w:rsidR="004C0F76" w:rsidRDefault="004C0F76"/>
    <w:sectPr w:rsidR="004C0F76" w:rsidSect="00FD143B">
      <w:pgSz w:w="12240" w:h="15840"/>
      <w:pgMar w:top="567" w:right="567" w:bottom="567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E6D2C"/>
    <w:rsid w:val="000C6330"/>
    <w:rsid w:val="00204CFA"/>
    <w:rsid w:val="00341208"/>
    <w:rsid w:val="004C0F76"/>
    <w:rsid w:val="00A30FB3"/>
    <w:rsid w:val="00CE6D2C"/>
    <w:rsid w:val="00D542A9"/>
    <w:rsid w:val="00FD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D2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D2C"/>
    <w:rPr>
      <w:b/>
      <w:bCs/>
    </w:rPr>
  </w:style>
  <w:style w:type="character" w:styleId="a5">
    <w:name w:val="Emphasis"/>
    <w:basedOn w:val="a0"/>
    <w:uiPriority w:val="20"/>
    <w:qFormat/>
    <w:rsid w:val="00CE6D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Kuharenko_IV</dc:creator>
  <cp:lastModifiedBy>Kuharenko_IV</cp:lastModifiedBy>
  <cp:revision>1</cp:revision>
  <dcterms:created xsi:type="dcterms:W3CDTF">2021-11-22T09:25:00Z</dcterms:created>
  <dcterms:modified xsi:type="dcterms:W3CDTF">2021-11-22T09:26:00Z</dcterms:modified>
</cp:coreProperties>
</file>