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Pr="003A725F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lastRenderedPageBreak/>
        <w:t>используемые для оказания медицинской помощи, в том числе скорой медицинской помощи;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225"/>
        <w:gridCol w:w="2346"/>
      </w:tblGrid>
      <w:tr w:rsidR="006B7E97" w:rsidRPr="008116C5" w:rsidTr="006B7E97">
        <w:tc>
          <w:tcPr>
            <w:tcW w:w="7225" w:type="dxa"/>
          </w:tcPr>
          <w:p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:rsidTr="00220EA7">
        <w:trPr>
          <w:trHeight w:val="409"/>
        </w:trPr>
        <w:tc>
          <w:tcPr>
            <w:tcW w:w="7225" w:type="dxa"/>
            <w:vAlign w:val="center"/>
          </w:tcPr>
          <w:p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:rsidTr="006B7E97">
        <w:tc>
          <w:tcPr>
            <w:tcW w:w="7225" w:type="dxa"/>
          </w:tcPr>
          <w:p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:rsidTr="006B7E97">
        <w:tc>
          <w:tcPr>
            <w:tcW w:w="7225" w:type="dxa"/>
          </w:tcPr>
          <w:p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:rsidTr="006B7E97">
        <w:tc>
          <w:tcPr>
            <w:tcW w:w="7225" w:type="dxa"/>
          </w:tcPr>
          <w:p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lastRenderedPageBreak/>
              <w:tab/>
              <w:t>свыше 40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Pr="000D3B6E">
        <w:rPr>
          <w:rFonts w:eastAsia="Times New Roman"/>
          <w:szCs w:val="30"/>
          <w:lang w:eastAsia="ru-RU"/>
        </w:rPr>
        <w:t xml:space="preserve">транспортный налогза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1–3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исчисленнойисходя из ставки транспортного налога и наличия транспортных средств: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1" w:name="_Hlk63242732"/>
      <w:r w:rsidRPr="00F756E6">
        <w:rPr>
          <w:rFonts w:eastAsia="Times New Roman"/>
          <w:szCs w:val="30"/>
          <w:lang w:eastAsia="ru-RU"/>
        </w:rPr>
        <w:lastRenderedPageBreak/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1"/>
    <w:p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8E546C">
      <w:pPr>
        <w:spacing w:line="140" w:lineRule="exact"/>
        <w:jc w:val="both"/>
        <w:rPr>
          <w:rFonts w:eastAsia="Times New Roman"/>
          <w:szCs w:val="30"/>
          <w:lang w:eastAsia="ru-RU"/>
        </w:rPr>
      </w:pPr>
    </w:p>
    <w:p w:rsidR="00E45456" w:rsidRDefault="000B7C9D" w:rsidP="00E45456">
      <w:pPr>
        <w:jc w:val="both"/>
        <w:rPr>
          <w:rStyle w:val="a5"/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8E546C" w:rsidRDefault="008E546C" w:rsidP="00E45456">
      <w:pPr>
        <w:jc w:val="both"/>
        <w:rPr>
          <w:rStyle w:val="a5"/>
          <w:rFonts w:eastAsia="Times New Roman"/>
          <w:szCs w:val="30"/>
          <w:lang w:eastAsia="ru-RU"/>
        </w:rPr>
      </w:pPr>
    </w:p>
    <w:p w:rsidR="008E546C" w:rsidRPr="008E546C" w:rsidRDefault="000B7C9D" w:rsidP="00E45456">
      <w:pPr>
        <w:jc w:val="both"/>
        <w:rPr>
          <w:rStyle w:val="a5"/>
        </w:rPr>
      </w:pPr>
      <w:hyperlink r:id="rId6" w:history="1">
        <w:r w:rsidR="008E546C" w:rsidRPr="008E546C">
          <w:rPr>
            <w:rStyle w:val="a5"/>
            <w:rFonts w:eastAsia="Times New Roman"/>
            <w:szCs w:val="30"/>
            <w:lang w:eastAsia="ru-RU"/>
          </w:rPr>
          <w:t>Об уплате гражданами транспортного налога</w:t>
        </w:r>
      </w:hyperlink>
    </w:p>
    <w:p w:rsidR="00A46AA9" w:rsidRDefault="00A46AA9" w:rsidP="00A96117">
      <w:pPr>
        <w:jc w:val="right"/>
        <w:rPr>
          <w:szCs w:val="30"/>
        </w:rPr>
      </w:pPr>
    </w:p>
    <w:p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:rsidR="00A96117" w:rsidRPr="00B63A71" w:rsidRDefault="00A96117" w:rsidP="00B63A71">
      <w:pPr>
        <w:jc w:val="right"/>
      </w:pPr>
      <w:r w:rsidRPr="00B63A71">
        <w:t>Республики Беларусь</w:t>
      </w:r>
    </w:p>
    <w:p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3537A2">
      <w:pgSz w:w="11906" w:h="16838"/>
      <w:pgMar w:top="851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7D"/>
      </v:shape>
    </w:pict>
  </w:numPicBullet>
  <w:abstractNum w:abstractNumId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3DC1"/>
    <w:rsid w:val="000224F9"/>
    <w:rsid w:val="00035383"/>
    <w:rsid w:val="000767A1"/>
    <w:rsid w:val="00084A9C"/>
    <w:rsid w:val="00087E1E"/>
    <w:rsid w:val="00096C85"/>
    <w:rsid w:val="000A4E95"/>
    <w:rsid w:val="000B7C9D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A6A69"/>
    <w:rsid w:val="002D3BB5"/>
    <w:rsid w:val="002D58F6"/>
    <w:rsid w:val="002E1790"/>
    <w:rsid w:val="002F0DE7"/>
    <w:rsid w:val="00303AC2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F5589"/>
    <w:rsid w:val="00507278"/>
    <w:rsid w:val="00527E54"/>
    <w:rsid w:val="0054024C"/>
    <w:rsid w:val="00562176"/>
    <w:rsid w:val="00586509"/>
    <w:rsid w:val="0059503C"/>
    <w:rsid w:val="00620848"/>
    <w:rsid w:val="00637867"/>
    <w:rsid w:val="00647A48"/>
    <w:rsid w:val="006B7E97"/>
    <w:rsid w:val="006D3333"/>
    <w:rsid w:val="006D47F2"/>
    <w:rsid w:val="006F1A5C"/>
    <w:rsid w:val="007068D6"/>
    <w:rsid w:val="00723D41"/>
    <w:rsid w:val="007246C7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746F"/>
    <w:rsid w:val="00973462"/>
    <w:rsid w:val="009756C4"/>
    <w:rsid w:val="009847C5"/>
    <w:rsid w:val="009A610C"/>
    <w:rsid w:val="009D3ACB"/>
    <w:rsid w:val="00A007F3"/>
    <w:rsid w:val="00A06C70"/>
    <w:rsid w:val="00A34B7B"/>
    <w:rsid w:val="00A3535A"/>
    <w:rsid w:val="00A43668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14D7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86601"/>
    <w:rsid w:val="00DA2AC9"/>
    <w:rsid w:val="00DB2823"/>
    <w:rsid w:val="00DB5706"/>
    <w:rsid w:val="00DB6F2F"/>
    <w:rsid w:val="00DC3745"/>
    <w:rsid w:val="00DC53C6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D"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news_ministerstva_mogilev_ru/view/r-ob-uplate-grazhdanami-transportnogo-nalogar-38777/" TargetMode="Externa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2021-02-17T07:30:00Z</cp:lastPrinted>
  <dcterms:created xsi:type="dcterms:W3CDTF">2021-11-24T05:48:00Z</dcterms:created>
  <dcterms:modified xsi:type="dcterms:W3CDTF">2021-11-24T05:48:00Z</dcterms:modified>
</cp:coreProperties>
</file>